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7D" w:rsidRPr="00DC36FF" w:rsidRDefault="0096147D" w:rsidP="0096147D">
      <w:pPr>
        <w:jc w:val="right"/>
        <w:rPr>
          <w:i/>
          <w:iCs/>
          <w:color w:val="000000" w:themeColor="text1"/>
        </w:rPr>
      </w:pPr>
      <w:r w:rsidRPr="00DC36FF">
        <w:rPr>
          <w:i/>
          <w:iCs/>
          <w:color w:val="000000" w:themeColor="text1"/>
        </w:rPr>
        <w:t>Приложение № 3</w:t>
      </w:r>
    </w:p>
    <w:p w:rsidR="0096147D" w:rsidRPr="00DC36FF" w:rsidRDefault="0096147D" w:rsidP="0096147D">
      <w:pPr>
        <w:tabs>
          <w:tab w:val="left" w:pos="-720"/>
        </w:tabs>
        <w:jc w:val="center"/>
        <w:rPr>
          <w:b/>
          <w:color w:val="000000" w:themeColor="text1"/>
          <w:sz w:val="28"/>
        </w:rPr>
      </w:pPr>
      <w:r w:rsidRPr="00DC36FF">
        <w:rPr>
          <w:b/>
          <w:color w:val="000000" w:themeColor="text1"/>
          <w:sz w:val="28"/>
        </w:rPr>
        <w:t>Тарифные планы</w:t>
      </w:r>
    </w:p>
    <w:p w:rsidR="0096147D" w:rsidRPr="00DC36FF" w:rsidRDefault="0096147D" w:rsidP="0096147D">
      <w:pPr>
        <w:tabs>
          <w:tab w:val="left" w:pos="426"/>
        </w:tabs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96147D" w:rsidRPr="00DC36FF" w:rsidRDefault="0096147D" w:rsidP="0096147D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C36FF">
        <w:rPr>
          <w:color w:val="000000" w:themeColor="text1"/>
          <w:sz w:val="22"/>
          <w:szCs w:val="22"/>
        </w:rPr>
        <w:t>Тарифы Брокера не учитывают комиссии Торговых систем.</w:t>
      </w:r>
    </w:p>
    <w:p w:rsidR="0096147D" w:rsidRPr="00DC36FF" w:rsidRDefault="0096147D" w:rsidP="0096147D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DC36FF">
        <w:rPr>
          <w:iCs/>
          <w:color w:val="000000" w:themeColor="text1"/>
          <w:sz w:val="22"/>
          <w:szCs w:val="22"/>
        </w:rPr>
        <w:t>На услуги, не перечисленные в настоящих Тарифах, комиссионное вознаграждение Брокера устанавливается отдельным соглашением между Брокером и Клиентом.</w:t>
      </w:r>
    </w:p>
    <w:p w:rsidR="0096147D" w:rsidRPr="00DC36FF" w:rsidRDefault="0096147D" w:rsidP="0096147D">
      <w:pPr>
        <w:rPr>
          <w:b/>
          <w:color w:val="000000" w:themeColor="text1"/>
        </w:rPr>
      </w:pPr>
    </w:p>
    <w:p w:rsidR="0096147D" w:rsidRPr="00DC36FF" w:rsidRDefault="0096147D" w:rsidP="0096147D">
      <w:pPr>
        <w:jc w:val="center"/>
        <w:rPr>
          <w:b/>
          <w:i/>
          <w:iCs/>
          <w:color w:val="000000" w:themeColor="text1"/>
        </w:rPr>
      </w:pPr>
      <w:r w:rsidRPr="00DC36FF">
        <w:rPr>
          <w:b/>
          <w:i/>
          <w:iCs/>
          <w:color w:val="000000" w:themeColor="text1"/>
        </w:rPr>
        <w:t>Тарифный план № 1</w:t>
      </w:r>
    </w:p>
    <w:p w:rsidR="0096147D" w:rsidRPr="00DC36FF" w:rsidRDefault="0096147D" w:rsidP="0096147D">
      <w:pPr>
        <w:rPr>
          <w:b/>
          <w:color w:val="000000" w:themeColor="text1"/>
          <w:sz w:val="12"/>
          <w:szCs w:val="12"/>
        </w:rPr>
      </w:pPr>
    </w:p>
    <w:p w:rsidR="0096147D" w:rsidRPr="00DC36FF" w:rsidRDefault="0096147D" w:rsidP="0096147D">
      <w:pPr>
        <w:pStyle w:val="xl45"/>
        <w:numPr>
          <w:ilvl w:val="0"/>
          <w:numId w:val="1"/>
        </w:numPr>
        <w:spacing w:before="0" w:beforeAutospacing="0" w:after="0" w:afterAutospacing="0"/>
        <w:jc w:val="both"/>
        <w:textAlignment w:val="auto"/>
        <w:rPr>
          <w:rFonts w:ascii="Times New Roman" w:eastAsia="Times New Roman" w:hAnsi="Times New Roman"/>
          <w:bCs w:val="0"/>
          <w:color w:val="000000" w:themeColor="text1"/>
          <w:sz w:val="22"/>
          <w:szCs w:val="22"/>
          <w:lang w:val="ru-RU"/>
        </w:rPr>
      </w:pPr>
      <w:r w:rsidRPr="00DC36FF">
        <w:rPr>
          <w:rFonts w:ascii="Times New Roman" w:eastAsia="Times New Roman" w:hAnsi="Times New Roman"/>
          <w:bCs w:val="0"/>
          <w:color w:val="000000" w:themeColor="text1"/>
          <w:sz w:val="22"/>
          <w:szCs w:val="22"/>
          <w:lang w:val="ru-RU"/>
        </w:rPr>
        <w:t xml:space="preserve">Вознаграждение Брокера за операции в торговой системе </w:t>
      </w:r>
      <w:r w:rsidRPr="00DC36FF">
        <w:rPr>
          <w:rFonts w:ascii="Times New Roman" w:hAnsi="Times New Roman"/>
          <w:color w:val="000000" w:themeColor="text1"/>
          <w:sz w:val="22"/>
          <w:szCs w:val="22"/>
          <w:lang w:val="ru-RU"/>
        </w:rPr>
        <w:t>ПАО Московская Биржа (фондовый рынок):</w:t>
      </w:r>
    </w:p>
    <w:tbl>
      <w:tblPr>
        <w:tblW w:w="9072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96147D" w:rsidRPr="00DC36FF" w:rsidTr="003E6CEA">
        <w:trPr>
          <w:cantSplit/>
          <w:trHeight w:val="24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  <w:vertAlign w:val="superscript"/>
              </w:rPr>
            </w:pPr>
            <w:r w:rsidRPr="00DC36FF">
              <w:rPr>
                <w:color w:val="000000" w:themeColor="text1"/>
                <w:sz w:val="20"/>
              </w:rPr>
              <w:t>Оборот за торговую сессию</w:t>
            </w:r>
          </w:p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по Счету Клиента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Комиссионное вознаграждение Брокера</w:t>
            </w:r>
          </w:p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(% от оборота за  торговую сессию по Счету Клиента)</w:t>
            </w:r>
          </w:p>
        </w:tc>
      </w:tr>
      <w:tr w:rsidR="0096147D" w:rsidRPr="00DC36FF" w:rsidTr="003E6CEA">
        <w:trPr>
          <w:cantSplit/>
          <w:trHeight w:val="59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Вне зависимости от оборота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tabs>
                <w:tab w:val="clear" w:pos="709"/>
              </w:tabs>
              <w:spacing w:before="0"/>
              <w:ind w:firstLine="34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0,118%</w:t>
            </w:r>
          </w:p>
        </w:tc>
      </w:tr>
      <w:tr w:rsidR="0096147D" w:rsidRPr="00DC36FF" w:rsidTr="003E6CEA">
        <w:trPr>
          <w:cantSplit/>
          <w:trHeight w:val="1125"/>
        </w:trPr>
        <w:tc>
          <w:tcPr>
            <w:tcW w:w="9072" w:type="dxa"/>
            <w:gridSpan w:val="2"/>
            <w:tcBorders>
              <w:top w:val="single" w:sz="4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tabs>
                <w:tab w:val="clear" w:pos="709"/>
              </w:tabs>
              <w:spacing w:before="0"/>
              <w:ind w:firstLine="34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 xml:space="preserve">Вознаграждение Брокера, предусмотренное пунктом 1 Тарифного плана № 1 Приложения № 3 к Регламенту ООО « АВИ </w:t>
            </w:r>
            <w:proofErr w:type="spellStart"/>
            <w:r w:rsidRPr="00DC36FF">
              <w:rPr>
                <w:color w:val="000000" w:themeColor="text1"/>
                <w:sz w:val="20"/>
              </w:rPr>
              <w:t>Кэпитал</w:t>
            </w:r>
            <w:proofErr w:type="spellEnd"/>
            <w:r w:rsidRPr="00DC36FF">
              <w:rPr>
                <w:color w:val="000000" w:themeColor="text1"/>
                <w:sz w:val="20"/>
              </w:rPr>
              <w:t>» «О порядке осуществления деятельности на рынке ценных бумаг, срочном и валютном рынках», не взимается Брокером, в случае если контрагентом по сделке купли-продажи ценных бумаг выступает Брокер, действуя от своего имени и за свой счет.</w:t>
            </w:r>
          </w:p>
        </w:tc>
      </w:tr>
    </w:tbl>
    <w:p w:rsidR="0096147D" w:rsidRPr="00DC36FF" w:rsidRDefault="0096147D" w:rsidP="0096147D">
      <w:pPr>
        <w:pStyle w:val="Myusual"/>
        <w:widowControl/>
        <w:tabs>
          <w:tab w:val="clear" w:pos="709"/>
          <w:tab w:val="left" w:pos="0"/>
        </w:tabs>
        <w:spacing w:before="0"/>
        <w:ind w:right="369" w:firstLine="0"/>
        <w:jc w:val="left"/>
        <w:rPr>
          <w:i/>
          <w:color w:val="000000" w:themeColor="text1"/>
          <w:sz w:val="12"/>
          <w:szCs w:val="12"/>
        </w:rPr>
      </w:pPr>
    </w:p>
    <w:p w:rsidR="0096147D" w:rsidRPr="00DC36FF" w:rsidRDefault="0096147D" w:rsidP="0096147D">
      <w:pPr>
        <w:pStyle w:val="Myusual"/>
        <w:widowControl/>
        <w:tabs>
          <w:tab w:val="clear" w:pos="709"/>
          <w:tab w:val="left" w:pos="0"/>
        </w:tabs>
        <w:spacing w:before="0"/>
        <w:ind w:right="369" w:firstLine="0"/>
        <w:jc w:val="left"/>
        <w:rPr>
          <w:color w:val="000000" w:themeColor="text1"/>
          <w:sz w:val="12"/>
          <w:szCs w:val="12"/>
        </w:rPr>
      </w:pPr>
    </w:p>
    <w:p w:rsidR="0096147D" w:rsidRPr="00DC36FF" w:rsidRDefault="0096147D" w:rsidP="0096147D">
      <w:pPr>
        <w:pStyle w:val="Myusual"/>
        <w:widowControl/>
        <w:tabs>
          <w:tab w:val="clear" w:pos="709"/>
          <w:tab w:val="left" w:pos="0"/>
        </w:tabs>
        <w:spacing w:before="0"/>
        <w:ind w:right="369" w:firstLine="0"/>
        <w:jc w:val="left"/>
        <w:rPr>
          <w:i/>
          <w:color w:val="000000" w:themeColor="text1"/>
          <w:sz w:val="12"/>
          <w:szCs w:val="12"/>
        </w:rPr>
      </w:pPr>
    </w:p>
    <w:p w:rsidR="0096147D" w:rsidRPr="00DC36FF" w:rsidRDefault="0096147D" w:rsidP="0096147D">
      <w:pPr>
        <w:pStyle w:val="Myusual"/>
        <w:widowControl/>
        <w:numPr>
          <w:ilvl w:val="1"/>
          <w:numId w:val="1"/>
        </w:numPr>
        <w:overflowPunct/>
        <w:autoSpaceDE/>
        <w:autoSpaceDN/>
        <w:adjustRightInd/>
        <w:spacing w:before="0" w:after="120"/>
        <w:textAlignment w:val="auto"/>
        <w:rPr>
          <w:b/>
          <w:color w:val="000000" w:themeColor="text1"/>
          <w:sz w:val="22"/>
          <w:szCs w:val="22"/>
        </w:rPr>
      </w:pPr>
      <w:r w:rsidRPr="00DC36FF">
        <w:rPr>
          <w:b/>
          <w:color w:val="000000" w:themeColor="text1"/>
          <w:sz w:val="22"/>
          <w:szCs w:val="22"/>
        </w:rPr>
        <w:t>Вознаграждение Брокера за операции с облигациями на внебиржевом рынке:</w:t>
      </w:r>
    </w:p>
    <w:tbl>
      <w:tblPr>
        <w:tblW w:w="9072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96147D" w:rsidRPr="00DC36FF" w:rsidTr="003E6CEA">
        <w:trPr>
          <w:cantSplit/>
          <w:trHeight w:val="24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Оборот за торговый день  по Счету Клиента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Комиссионное вознаграждение Брокера</w:t>
            </w:r>
          </w:p>
          <w:p w:rsidR="0096147D" w:rsidRPr="00DC36FF" w:rsidRDefault="0096147D" w:rsidP="003E6CEA">
            <w:pPr>
              <w:pStyle w:val="Myusual"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(% от оборота за торговый день по Счету Клиента)</w:t>
            </w:r>
          </w:p>
        </w:tc>
      </w:tr>
      <w:tr w:rsidR="0096147D" w:rsidRPr="00DC36FF" w:rsidTr="003E6CEA">
        <w:trPr>
          <w:cantSplit/>
          <w:trHeight w:val="592"/>
        </w:trPr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Вне зависимости от оборота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tabs>
                <w:tab w:val="clear" w:pos="709"/>
              </w:tabs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0,2%</w:t>
            </w:r>
          </w:p>
        </w:tc>
      </w:tr>
      <w:tr w:rsidR="0096147D" w:rsidRPr="00DC36FF" w:rsidTr="003E6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36" w:type="dxa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rFonts w:eastAsia="Times"/>
                <w:color w:val="000000" w:themeColor="text1"/>
                <w:sz w:val="20"/>
                <w:szCs w:val="20"/>
              </w:rPr>
              <w:t>Комиссия за проведение расчетов с использованием счетов в международных расчетных организациях</w:t>
            </w:r>
          </w:p>
        </w:tc>
        <w:tc>
          <w:tcPr>
            <w:tcW w:w="4536" w:type="dxa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rFonts w:eastAsia="Times"/>
                <w:color w:val="000000" w:themeColor="text1"/>
                <w:sz w:val="20"/>
                <w:szCs w:val="20"/>
              </w:rPr>
              <w:t>22 доллара США за каждую сделку</w:t>
            </w:r>
          </w:p>
        </w:tc>
      </w:tr>
      <w:tr w:rsidR="0096147D" w:rsidRPr="00DC36FF" w:rsidTr="003E6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46"/>
        </w:trPr>
        <w:tc>
          <w:tcPr>
            <w:tcW w:w="9072" w:type="dxa"/>
            <w:gridSpan w:val="2"/>
            <w:vAlign w:val="center"/>
          </w:tcPr>
          <w:p w:rsidR="0096147D" w:rsidRPr="00DC36FF" w:rsidRDefault="0096147D" w:rsidP="003E6CEA">
            <w:pPr>
              <w:jc w:val="center"/>
              <w:rPr>
                <w:rFonts w:eastAsia="Times"/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</w:rPr>
              <w:t xml:space="preserve">Вознаграждение Брокера, предусмотренное пунктом 1.1. Тарифного плана № 1 Приложения № 3 к Регламенту ООО «АВИ </w:t>
            </w:r>
            <w:proofErr w:type="spellStart"/>
            <w:r w:rsidRPr="00DC36FF">
              <w:rPr>
                <w:color w:val="000000" w:themeColor="text1"/>
                <w:sz w:val="20"/>
              </w:rPr>
              <w:t>Кэпитал</w:t>
            </w:r>
            <w:proofErr w:type="spellEnd"/>
            <w:r w:rsidRPr="00DC36FF">
              <w:rPr>
                <w:color w:val="000000" w:themeColor="text1"/>
                <w:sz w:val="20"/>
              </w:rPr>
              <w:t>» «О порядке осуществления деятельности на рынке ценных бумаг, срочном и валютном рынках», не взимается Брокером, в случае если контрагентом по сделке купли-продажи ценных бумаг выступает Брокер, действуя от своего имени и за свой счет.</w:t>
            </w:r>
          </w:p>
        </w:tc>
      </w:tr>
    </w:tbl>
    <w:p w:rsidR="0096147D" w:rsidRPr="00DC36FF" w:rsidRDefault="0096147D" w:rsidP="0096147D">
      <w:pPr>
        <w:jc w:val="both"/>
        <w:rPr>
          <w:color w:val="000000" w:themeColor="text1"/>
          <w:sz w:val="12"/>
          <w:szCs w:val="12"/>
        </w:rPr>
      </w:pPr>
    </w:p>
    <w:p w:rsidR="0096147D" w:rsidRPr="00DC36FF" w:rsidRDefault="0096147D" w:rsidP="0096147D">
      <w:pPr>
        <w:pStyle w:val="a5"/>
        <w:jc w:val="both"/>
        <w:rPr>
          <w:rFonts w:ascii="Times New Roman" w:hAnsi="Times New Roman"/>
          <w:color w:val="000000" w:themeColor="text1"/>
          <w:sz w:val="2"/>
          <w:szCs w:val="2"/>
        </w:rPr>
      </w:pPr>
    </w:p>
    <w:p w:rsidR="0096147D" w:rsidRPr="00DC36FF" w:rsidRDefault="0096147D" w:rsidP="0096147D">
      <w:pPr>
        <w:pStyle w:val="xl45"/>
        <w:numPr>
          <w:ilvl w:val="1"/>
          <w:numId w:val="1"/>
        </w:numPr>
        <w:spacing w:before="0" w:beforeAutospacing="0" w:after="0" w:afterAutospacing="0"/>
        <w:jc w:val="both"/>
        <w:textAlignment w:val="auto"/>
        <w:rPr>
          <w:rFonts w:ascii="Times New Roman" w:eastAsia="Times New Roman" w:hAnsi="Times New Roman"/>
          <w:bCs w:val="0"/>
          <w:color w:val="000000" w:themeColor="text1"/>
          <w:sz w:val="22"/>
          <w:szCs w:val="22"/>
          <w:lang w:val="ru-RU"/>
        </w:rPr>
      </w:pPr>
      <w:r w:rsidRPr="00DC36FF">
        <w:rPr>
          <w:rFonts w:ascii="Times New Roman" w:eastAsia="Times New Roman" w:hAnsi="Times New Roman"/>
          <w:bCs w:val="0"/>
          <w:color w:val="000000" w:themeColor="text1"/>
          <w:sz w:val="22"/>
          <w:szCs w:val="22"/>
          <w:lang w:val="ru-RU"/>
        </w:rPr>
        <w:t xml:space="preserve">Вознаграждение Брокера за операции </w:t>
      </w:r>
      <w:r w:rsidRPr="00DC36FF">
        <w:rPr>
          <w:rFonts w:ascii="Times New Roman" w:hAnsi="Times New Roman"/>
          <w:color w:val="000000" w:themeColor="text1"/>
          <w:sz w:val="22"/>
          <w:szCs w:val="22"/>
          <w:lang w:val="ru-RU"/>
        </w:rPr>
        <w:t>на внебиржевом рынке, за исключением операций с облигациями на внебиржевом рынке:</w:t>
      </w:r>
    </w:p>
    <w:tbl>
      <w:tblPr>
        <w:tblW w:w="9072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96147D" w:rsidRPr="00DC36FF" w:rsidTr="003E6CEA">
        <w:trPr>
          <w:cantSplit/>
          <w:trHeight w:val="24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Сумма сделки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Комиссионное вознаграждение Брокера</w:t>
            </w:r>
          </w:p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(% от сделки)</w:t>
            </w:r>
          </w:p>
        </w:tc>
      </w:tr>
      <w:tr w:rsidR="0096147D" w:rsidRPr="00DC36FF" w:rsidTr="003E6CEA">
        <w:trPr>
          <w:cantSplit/>
          <w:trHeight w:val="765"/>
        </w:trPr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Вне зависимости от суммы сделки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tabs>
                <w:tab w:val="clear" w:pos="709"/>
              </w:tabs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0,118%, но не менее 1 000 рублей за сделку</w:t>
            </w:r>
          </w:p>
        </w:tc>
      </w:tr>
      <w:tr w:rsidR="0096147D" w:rsidRPr="00DC36FF" w:rsidTr="003E6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7"/>
        </w:trPr>
        <w:tc>
          <w:tcPr>
            <w:tcW w:w="4536" w:type="dxa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rFonts w:eastAsia="Times"/>
                <w:color w:val="000000" w:themeColor="text1"/>
                <w:sz w:val="20"/>
                <w:szCs w:val="20"/>
              </w:rPr>
              <w:t>Комиссия за проведение расчетов с использованием счетов в международных расчетных организациях</w:t>
            </w:r>
          </w:p>
        </w:tc>
        <w:tc>
          <w:tcPr>
            <w:tcW w:w="4536" w:type="dxa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rFonts w:eastAsia="Times"/>
                <w:color w:val="000000" w:themeColor="text1"/>
                <w:sz w:val="20"/>
                <w:szCs w:val="20"/>
              </w:rPr>
              <w:t>22 доллара США за каждую сделку</w:t>
            </w:r>
          </w:p>
        </w:tc>
      </w:tr>
      <w:tr w:rsidR="0096147D" w:rsidRPr="00DC36FF" w:rsidTr="003E6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92"/>
        </w:trPr>
        <w:tc>
          <w:tcPr>
            <w:tcW w:w="9072" w:type="dxa"/>
            <w:gridSpan w:val="2"/>
            <w:vAlign w:val="center"/>
          </w:tcPr>
          <w:p w:rsidR="0096147D" w:rsidRPr="00DC36FF" w:rsidRDefault="0096147D" w:rsidP="003E6CEA">
            <w:pPr>
              <w:jc w:val="center"/>
              <w:rPr>
                <w:rFonts w:eastAsia="Times"/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</w:rPr>
              <w:t xml:space="preserve">Вознаграждение Брокера, предусмотренное пунктом 1.3. Тарифного плана № 1 Приложения № 3 к Регламенту ООО «АВИ </w:t>
            </w:r>
            <w:proofErr w:type="spellStart"/>
            <w:r w:rsidRPr="00DC36FF">
              <w:rPr>
                <w:color w:val="000000" w:themeColor="text1"/>
                <w:sz w:val="20"/>
              </w:rPr>
              <w:t>Кэпитал</w:t>
            </w:r>
            <w:proofErr w:type="spellEnd"/>
            <w:r w:rsidRPr="00DC36FF">
              <w:rPr>
                <w:color w:val="000000" w:themeColor="text1"/>
                <w:sz w:val="20"/>
              </w:rPr>
              <w:t>» «О порядке осуществления деятельности на рынке ценных бумаг, срочном и валютном рынках», не взимается Брокером, в случае если контрагентом по сделке купли-продажи ценных бумаг выступает Брокер, действуя от своего имени и за свой счет.</w:t>
            </w:r>
          </w:p>
        </w:tc>
      </w:tr>
    </w:tbl>
    <w:p w:rsidR="0096147D" w:rsidRPr="00DC36FF" w:rsidRDefault="0096147D" w:rsidP="0096147D">
      <w:pPr>
        <w:ind w:left="360"/>
        <w:jc w:val="both"/>
        <w:rPr>
          <w:color w:val="000000" w:themeColor="text1"/>
          <w:sz w:val="20"/>
          <w:szCs w:val="20"/>
        </w:rPr>
      </w:pPr>
    </w:p>
    <w:p w:rsidR="0096147D" w:rsidRPr="00DC36FF" w:rsidRDefault="0096147D" w:rsidP="0096147D">
      <w:pPr>
        <w:pStyle w:val="a5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6FF">
        <w:rPr>
          <w:rFonts w:ascii="Times New Roman" w:hAnsi="Times New Roman"/>
          <w:color w:val="000000" w:themeColor="text1"/>
          <w:sz w:val="20"/>
          <w:szCs w:val="20"/>
        </w:rPr>
        <w:t xml:space="preserve">Если сделка заключена в иностранной валюте, то вознаграждение Брокера взимается в рублях по курсу   Банка России, установленному на дату заключения сделки. </w:t>
      </w:r>
    </w:p>
    <w:p w:rsidR="0096147D" w:rsidRPr="00DC36FF" w:rsidRDefault="0096147D" w:rsidP="0096147D">
      <w:pPr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DC36FF">
        <w:rPr>
          <w:b/>
          <w:bCs/>
          <w:color w:val="000000" w:themeColor="text1"/>
          <w:sz w:val="22"/>
          <w:szCs w:val="22"/>
        </w:rPr>
        <w:lastRenderedPageBreak/>
        <w:t>Вознаграждение Брокера</w:t>
      </w:r>
      <w:r w:rsidRPr="00DC36FF">
        <w:rPr>
          <w:b/>
          <w:color w:val="000000" w:themeColor="text1"/>
          <w:sz w:val="22"/>
          <w:szCs w:val="22"/>
        </w:rPr>
        <w:t xml:space="preserve"> за совершение сделок РЕПО:  </w:t>
      </w:r>
    </w:p>
    <w:p w:rsidR="0096147D" w:rsidRPr="00DC36FF" w:rsidRDefault="0096147D" w:rsidP="0096147D">
      <w:pPr>
        <w:ind w:left="360"/>
        <w:jc w:val="both"/>
        <w:rPr>
          <w:b/>
          <w:color w:val="000000" w:themeColor="text1"/>
          <w:sz w:val="22"/>
          <w:szCs w:val="22"/>
        </w:rPr>
      </w:pPr>
    </w:p>
    <w:p w:rsidR="0096147D" w:rsidRPr="00DC36FF" w:rsidRDefault="0096147D" w:rsidP="0096147D">
      <w:pPr>
        <w:ind w:left="420"/>
        <w:jc w:val="both"/>
        <w:rPr>
          <w:b/>
          <w:i/>
          <w:color w:val="000000" w:themeColor="text1"/>
          <w:sz w:val="18"/>
          <w:szCs w:val="18"/>
        </w:rPr>
      </w:pPr>
      <w:r w:rsidRPr="00DC36FF">
        <w:rPr>
          <w:b/>
          <w:color w:val="000000" w:themeColor="text1"/>
          <w:sz w:val="22"/>
          <w:szCs w:val="22"/>
        </w:rPr>
        <w:t>2.1. Сделки РЕПО, заключаемые в торговой системе ПАО Московская Биржа (фондовый рынок):</w:t>
      </w:r>
    </w:p>
    <w:p w:rsidR="0096147D" w:rsidRPr="00DC36FF" w:rsidRDefault="0096147D" w:rsidP="0096147D">
      <w:pPr>
        <w:rPr>
          <w:i/>
          <w:color w:val="000000" w:themeColor="text1"/>
          <w:sz w:val="18"/>
          <w:szCs w:val="18"/>
        </w:rPr>
      </w:pPr>
    </w:p>
    <w:tbl>
      <w:tblPr>
        <w:tblW w:w="9011" w:type="dxa"/>
        <w:jc w:val="center"/>
        <w:tblLook w:val="0000" w:firstRow="0" w:lastRow="0" w:firstColumn="0" w:lastColumn="0" w:noHBand="0" w:noVBand="0"/>
      </w:tblPr>
      <w:tblGrid>
        <w:gridCol w:w="4407"/>
        <w:gridCol w:w="4604"/>
      </w:tblGrid>
      <w:tr w:rsidR="0096147D" w:rsidRPr="00DC36FF" w:rsidTr="003E6CEA">
        <w:trPr>
          <w:trHeight w:val="405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Сумма сделки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Комиссионное вознаграждение Брокера</w:t>
            </w:r>
          </w:p>
        </w:tc>
      </w:tr>
      <w:tr w:rsidR="0096147D" w:rsidRPr="00DC36FF" w:rsidTr="003E6CEA">
        <w:trPr>
          <w:trHeight w:val="405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Вне зависимости от суммы сделки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0,5% годовых</w:t>
            </w:r>
            <w:r w:rsidRPr="00DC36FF">
              <w:rPr>
                <w:color w:val="000000" w:themeColor="text1"/>
                <w:sz w:val="16"/>
                <w:szCs w:val="16"/>
              </w:rPr>
              <w:t>*</w:t>
            </w:r>
          </w:p>
        </w:tc>
      </w:tr>
    </w:tbl>
    <w:p w:rsidR="0096147D" w:rsidRPr="00DC36FF" w:rsidRDefault="0096147D" w:rsidP="0096147D">
      <w:pPr>
        <w:ind w:left="720"/>
        <w:rPr>
          <w:color w:val="000000" w:themeColor="text1"/>
          <w:sz w:val="18"/>
          <w:szCs w:val="18"/>
        </w:rPr>
      </w:pPr>
      <w:proofErr w:type="gramStart"/>
      <w:r w:rsidRPr="00DC36FF">
        <w:rPr>
          <w:color w:val="000000" w:themeColor="text1"/>
          <w:sz w:val="16"/>
          <w:szCs w:val="16"/>
        </w:rPr>
        <w:t>*</w:t>
      </w:r>
      <w:r w:rsidRPr="00DC36FF">
        <w:rPr>
          <w:color w:val="000000" w:themeColor="text1"/>
          <w:sz w:val="18"/>
          <w:szCs w:val="18"/>
          <w:lang w:val="en-US"/>
        </w:rPr>
        <w:t>s</w:t>
      </w:r>
      <w:r w:rsidRPr="00DC36FF">
        <w:rPr>
          <w:color w:val="000000" w:themeColor="text1"/>
          <w:sz w:val="18"/>
          <w:szCs w:val="18"/>
        </w:rPr>
        <w:t>*</w:t>
      </w:r>
      <w:r w:rsidRPr="00DC36FF">
        <w:rPr>
          <w:color w:val="000000" w:themeColor="text1"/>
          <w:sz w:val="18"/>
          <w:szCs w:val="18"/>
          <w:lang w:val="en-US"/>
        </w:rPr>
        <w:t>t</w:t>
      </w:r>
      <w:r w:rsidRPr="00DC36FF">
        <w:rPr>
          <w:color w:val="000000" w:themeColor="text1"/>
          <w:sz w:val="18"/>
          <w:szCs w:val="18"/>
        </w:rPr>
        <w:t>*</w:t>
      </w:r>
      <w:r w:rsidRPr="00DC36FF">
        <w:rPr>
          <w:color w:val="000000" w:themeColor="text1"/>
          <w:sz w:val="18"/>
          <w:szCs w:val="18"/>
          <w:lang w:val="en-US"/>
        </w:rPr>
        <w:t>k</w:t>
      </w:r>
      <w:r w:rsidRPr="00DC36FF">
        <w:rPr>
          <w:color w:val="000000" w:themeColor="text1"/>
          <w:sz w:val="18"/>
          <w:szCs w:val="18"/>
        </w:rPr>
        <w:t xml:space="preserve">/365, где </w:t>
      </w:r>
      <w:r w:rsidRPr="00DC36FF">
        <w:rPr>
          <w:color w:val="000000" w:themeColor="text1"/>
          <w:sz w:val="18"/>
          <w:szCs w:val="18"/>
          <w:lang w:val="en-US"/>
        </w:rPr>
        <w:t>s</w:t>
      </w:r>
      <w:r w:rsidRPr="00DC36FF">
        <w:rPr>
          <w:color w:val="000000" w:themeColor="text1"/>
          <w:sz w:val="18"/>
          <w:szCs w:val="18"/>
        </w:rPr>
        <w:t xml:space="preserve"> - сумма первой части сделки РЕПО (с учетом суммы накопленного купонного дохода (НКД),</w:t>
      </w:r>
      <w:proofErr w:type="gramEnd"/>
    </w:p>
    <w:p w:rsidR="0096147D" w:rsidRPr="00DC36FF" w:rsidRDefault="0096147D" w:rsidP="0096147D">
      <w:pPr>
        <w:ind w:left="720"/>
        <w:rPr>
          <w:color w:val="000000" w:themeColor="text1"/>
          <w:sz w:val="18"/>
          <w:szCs w:val="18"/>
        </w:rPr>
      </w:pPr>
      <w:r w:rsidRPr="00DC36FF">
        <w:rPr>
          <w:color w:val="000000" w:themeColor="text1"/>
          <w:sz w:val="18"/>
          <w:szCs w:val="18"/>
          <w:lang w:val="en-US"/>
        </w:rPr>
        <w:t>t</w:t>
      </w:r>
      <w:r w:rsidRPr="00DC36FF">
        <w:rPr>
          <w:color w:val="000000" w:themeColor="text1"/>
          <w:sz w:val="18"/>
          <w:szCs w:val="18"/>
        </w:rPr>
        <w:t xml:space="preserve"> - </w:t>
      </w:r>
      <w:proofErr w:type="gramStart"/>
      <w:r w:rsidRPr="00DC36FF">
        <w:rPr>
          <w:color w:val="000000" w:themeColor="text1"/>
          <w:sz w:val="18"/>
          <w:szCs w:val="18"/>
        </w:rPr>
        <w:t>срок</w:t>
      </w:r>
      <w:proofErr w:type="gramEnd"/>
      <w:r w:rsidRPr="00DC36FF">
        <w:rPr>
          <w:color w:val="000000" w:themeColor="text1"/>
          <w:sz w:val="18"/>
          <w:szCs w:val="18"/>
        </w:rPr>
        <w:t xml:space="preserve"> РЕПО, </w:t>
      </w:r>
      <w:r w:rsidRPr="00DC36FF">
        <w:rPr>
          <w:color w:val="000000" w:themeColor="text1"/>
          <w:sz w:val="18"/>
          <w:szCs w:val="18"/>
          <w:lang w:val="en-US"/>
        </w:rPr>
        <w:t>k</w:t>
      </w:r>
      <w:r w:rsidRPr="00DC36FF">
        <w:rPr>
          <w:color w:val="000000" w:themeColor="text1"/>
          <w:sz w:val="18"/>
          <w:szCs w:val="18"/>
        </w:rPr>
        <w:t>=0,5%</w:t>
      </w:r>
    </w:p>
    <w:p w:rsidR="0096147D" w:rsidRPr="00DC36FF" w:rsidRDefault="0096147D" w:rsidP="0096147D">
      <w:pPr>
        <w:rPr>
          <w:b/>
          <w:color w:val="000000" w:themeColor="text1"/>
        </w:rPr>
      </w:pPr>
    </w:p>
    <w:p w:rsidR="0096147D" w:rsidRPr="00DC36FF" w:rsidRDefault="0096147D" w:rsidP="0096147D">
      <w:pPr>
        <w:pStyle w:val="Myusual"/>
        <w:widowControl/>
        <w:overflowPunct/>
        <w:autoSpaceDE/>
        <w:autoSpaceDN/>
        <w:adjustRightInd/>
        <w:spacing w:before="0" w:after="120"/>
        <w:ind w:firstLine="0"/>
        <w:textAlignment w:val="auto"/>
        <w:rPr>
          <w:b/>
          <w:color w:val="000000" w:themeColor="text1"/>
          <w:sz w:val="22"/>
          <w:szCs w:val="22"/>
        </w:rPr>
      </w:pPr>
      <w:r w:rsidRPr="00DC36FF">
        <w:rPr>
          <w:b/>
          <w:color w:val="000000" w:themeColor="text1"/>
          <w:sz w:val="22"/>
          <w:szCs w:val="22"/>
        </w:rPr>
        <w:t>2.2. Сделки РЕПО, заключаемые на внебиржевом рынке:</w:t>
      </w:r>
    </w:p>
    <w:tbl>
      <w:tblPr>
        <w:tblW w:w="9147" w:type="dxa"/>
        <w:jc w:val="center"/>
        <w:tblLook w:val="0000" w:firstRow="0" w:lastRow="0" w:firstColumn="0" w:lastColumn="0" w:noHBand="0" w:noVBand="0"/>
      </w:tblPr>
      <w:tblGrid>
        <w:gridCol w:w="4422"/>
        <w:gridCol w:w="4725"/>
      </w:tblGrid>
      <w:tr w:rsidR="0096147D" w:rsidRPr="00DC36FF" w:rsidTr="003E6CEA">
        <w:trPr>
          <w:trHeight w:val="405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Сумма сделки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Комиссионное вознаграждение Брокера</w:t>
            </w:r>
          </w:p>
        </w:tc>
      </w:tr>
      <w:tr w:rsidR="0096147D" w:rsidRPr="00DC36FF" w:rsidTr="003E6CEA">
        <w:trPr>
          <w:trHeight w:val="405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Вне зависимости от суммы сделки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0,5% годовых</w:t>
            </w:r>
            <w:r w:rsidRPr="00DC36FF">
              <w:rPr>
                <w:color w:val="000000" w:themeColor="text1"/>
                <w:sz w:val="16"/>
                <w:szCs w:val="16"/>
              </w:rPr>
              <w:t>*</w:t>
            </w:r>
            <w:r w:rsidRPr="00DC36FF">
              <w:rPr>
                <w:color w:val="000000" w:themeColor="text1"/>
                <w:sz w:val="20"/>
                <w:szCs w:val="20"/>
              </w:rPr>
              <w:t>, но не менее 15 рублей за сделку</w:t>
            </w:r>
          </w:p>
        </w:tc>
      </w:tr>
      <w:tr w:rsidR="0096147D" w:rsidRPr="00DC36FF" w:rsidTr="003E6CEA">
        <w:trPr>
          <w:trHeight w:val="405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rFonts w:eastAsia="Times"/>
                <w:color w:val="000000" w:themeColor="text1"/>
                <w:sz w:val="20"/>
                <w:szCs w:val="20"/>
              </w:rPr>
              <w:t>Комиссия за проведение расчетов с использованием счетов в международных расчетных организациях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rFonts w:eastAsia="Times"/>
                <w:color w:val="000000" w:themeColor="text1"/>
                <w:sz w:val="20"/>
                <w:szCs w:val="20"/>
              </w:rPr>
              <w:t>22 доллара США за каждую сделку</w:t>
            </w:r>
          </w:p>
        </w:tc>
      </w:tr>
    </w:tbl>
    <w:p w:rsidR="0096147D" w:rsidRPr="00DC36FF" w:rsidRDefault="0096147D" w:rsidP="0096147D">
      <w:pPr>
        <w:ind w:left="720"/>
        <w:rPr>
          <w:color w:val="000000" w:themeColor="text1"/>
          <w:sz w:val="18"/>
          <w:szCs w:val="18"/>
        </w:rPr>
      </w:pPr>
      <w:proofErr w:type="gramStart"/>
      <w:r w:rsidRPr="00DC36FF">
        <w:rPr>
          <w:color w:val="000000" w:themeColor="text1"/>
          <w:sz w:val="16"/>
          <w:szCs w:val="16"/>
        </w:rPr>
        <w:t>*</w:t>
      </w:r>
      <w:r w:rsidRPr="00DC36FF">
        <w:rPr>
          <w:color w:val="000000" w:themeColor="text1"/>
          <w:sz w:val="18"/>
          <w:szCs w:val="18"/>
          <w:lang w:val="en-US"/>
        </w:rPr>
        <w:t>s</w:t>
      </w:r>
      <w:r w:rsidRPr="00DC36FF">
        <w:rPr>
          <w:color w:val="000000" w:themeColor="text1"/>
          <w:sz w:val="18"/>
          <w:szCs w:val="18"/>
        </w:rPr>
        <w:t>*</w:t>
      </w:r>
      <w:r w:rsidRPr="00DC36FF">
        <w:rPr>
          <w:color w:val="000000" w:themeColor="text1"/>
          <w:sz w:val="18"/>
          <w:szCs w:val="18"/>
          <w:lang w:val="en-US"/>
        </w:rPr>
        <w:t>t</w:t>
      </w:r>
      <w:r w:rsidRPr="00DC36FF">
        <w:rPr>
          <w:color w:val="000000" w:themeColor="text1"/>
          <w:sz w:val="18"/>
          <w:szCs w:val="18"/>
        </w:rPr>
        <w:t>*</w:t>
      </w:r>
      <w:r w:rsidRPr="00DC36FF">
        <w:rPr>
          <w:color w:val="000000" w:themeColor="text1"/>
          <w:sz w:val="18"/>
          <w:szCs w:val="18"/>
          <w:lang w:val="en-US"/>
        </w:rPr>
        <w:t>k</w:t>
      </w:r>
      <w:r w:rsidRPr="00DC36FF">
        <w:rPr>
          <w:color w:val="000000" w:themeColor="text1"/>
          <w:sz w:val="18"/>
          <w:szCs w:val="18"/>
        </w:rPr>
        <w:t xml:space="preserve">/365, где </w:t>
      </w:r>
      <w:r w:rsidRPr="00DC36FF">
        <w:rPr>
          <w:color w:val="000000" w:themeColor="text1"/>
          <w:sz w:val="18"/>
          <w:szCs w:val="18"/>
          <w:lang w:val="en-US"/>
        </w:rPr>
        <w:t>s</w:t>
      </w:r>
      <w:r w:rsidRPr="00DC36FF">
        <w:rPr>
          <w:color w:val="000000" w:themeColor="text1"/>
          <w:sz w:val="18"/>
          <w:szCs w:val="18"/>
        </w:rPr>
        <w:t xml:space="preserve"> - сумма первой части сделки РЕПО (с учетом суммы накопленного купонного дохода (НКД),</w:t>
      </w:r>
      <w:proofErr w:type="gramEnd"/>
    </w:p>
    <w:p w:rsidR="0096147D" w:rsidRPr="00DC36FF" w:rsidRDefault="0096147D" w:rsidP="0096147D">
      <w:pPr>
        <w:ind w:left="720"/>
        <w:rPr>
          <w:color w:val="000000" w:themeColor="text1"/>
          <w:sz w:val="18"/>
          <w:szCs w:val="18"/>
        </w:rPr>
      </w:pPr>
      <w:r w:rsidRPr="00DC36FF">
        <w:rPr>
          <w:color w:val="000000" w:themeColor="text1"/>
          <w:sz w:val="18"/>
          <w:szCs w:val="18"/>
          <w:lang w:val="en-US"/>
        </w:rPr>
        <w:t>t</w:t>
      </w:r>
      <w:r w:rsidRPr="00DC36FF">
        <w:rPr>
          <w:color w:val="000000" w:themeColor="text1"/>
          <w:sz w:val="18"/>
          <w:szCs w:val="18"/>
        </w:rPr>
        <w:t xml:space="preserve"> - </w:t>
      </w:r>
      <w:proofErr w:type="gramStart"/>
      <w:r w:rsidRPr="00DC36FF">
        <w:rPr>
          <w:color w:val="000000" w:themeColor="text1"/>
          <w:sz w:val="18"/>
          <w:szCs w:val="18"/>
        </w:rPr>
        <w:t>срок</w:t>
      </w:r>
      <w:proofErr w:type="gramEnd"/>
      <w:r w:rsidRPr="00DC36FF">
        <w:rPr>
          <w:color w:val="000000" w:themeColor="text1"/>
          <w:sz w:val="18"/>
          <w:szCs w:val="18"/>
        </w:rPr>
        <w:t xml:space="preserve"> РЕПО, </w:t>
      </w:r>
      <w:r w:rsidRPr="00DC36FF">
        <w:rPr>
          <w:color w:val="000000" w:themeColor="text1"/>
          <w:sz w:val="18"/>
          <w:szCs w:val="18"/>
          <w:lang w:val="en-US"/>
        </w:rPr>
        <w:t>k</w:t>
      </w:r>
      <w:r w:rsidRPr="00DC36FF">
        <w:rPr>
          <w:color w:val="000000" w:themeColor="text1"/>
          <w:sz w:val="18"/>
          <w:szCs w:val="18"/>
        </w:rPr>
        <w:t>=0,5%</w:t>
      </w:r>
    </w:p>
    <w:p w:rsidR="0096147D" w:rsidRPr="00DC36FF" w:rsidRDefault="0096147D" w:rsidP="0096147D">
      <w:pPr>
        <w:jc w:val="both"/>
        <w:rPr>
          <w:color w:val="000000" w:themeColor="text1"/>
          <w:sz w:val="20"/>
          <w:szCs w:val="20"/>
        </w:rPr>
      </w:pPr>
    </w:p>
    <w:p w:rsidR="0096147D" w:rsidRPr="00DC36FF" w:rsidRDefault="0096147D" w:rsidP="0096147D">
      <w:pPr>
        <w:jc w:val="both"/>
        <w:rPr>
          <w:color w:val="000000" w:themeColor="text1"/>
          <w:sz w:val="20"/>
          <w:szCs w:val="20"/>
        </w:rPr>
      </w:pPr>
      <w:r w:rsidRPr="00DC36FF">
        <w:rPr>
          <w:color w:val="000000" w:themeColor="text1"/>
          <w:sz w:val="20"/>
          <w:szCs w:val="20"/>
        </w:rPr>
        <w:t xml:space="preserve">2.3. Вознаграждение Брокера взимается в рублях по курсу Банка России, установленному на дату заключения сделки. </w:t>
      </w:r>
    </w:p>
    <w:p w:rsidR="0096147D" w:rsidRPr="00DC36FF" w:rsidRDefault="0096147D" w:rsidP="0096147D">
      <w:pPr>
        <w:jc w:val="both"/>
        <w:rPr>
          <w:color w:val="000000" w:themeColor="text1"/>
          <w:sz w:val="20"/>
          <w:szCs w:val="20"/>
        </w:rPr>
      </w:pPr>
    </w:p>
    <w:p w:rsidR="0096147D" w:rsidRPr="00DC36FF" w:rsidRDefault="0096147D" w:rsidP="0096147D">
      <w:pPr>
        <w:numPr>
          <w:ilvl w:val="0"/>
          <w:numId w:val="1"/>
        </w:numPr>
        <w:jc w:val="both"/>
        <w:rPr>
          <w:b/>
          <w:bCs/>
          <w:color w:val="000000" w:themeColor="text1"/>
          <w:sz w:val="22"/>
          <w:szCs w:val="22"/>
        </w:rPr>
      </w:pPr>
      <w:r w:rsidRPr="00DC36FF">
        <w:rPr>
          <w:b/>
          <w:bCs/>
          <w:color w:val="000000" w:themeColor="text1"/>
          <w:sz w:val="22"/>
          <w:szCs w:val="22"/>
        </w:rPr>
        <w:t>Вознаграждение Брокера за предоставление маржинального займа: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3"/>
      </w:tblGrid>
      <w:tr w:rsidR="0096147D" w:rsidRPr="00DC36FF" w:rsidTr="003E6CEA">
        <w:tc>
          <w:tcPr>
            <w:tcW w:w="4678" w:type="dxa"/>
          </w:tcPr>
          <w:p w:rsidR="0096147D" w:rsidRPr="00DC36FF" w:rsidRDefault="0096147D" w:rsidP="003E6CEA">
            <w:pPr>
              <w:jc w:val="both"/>
              <w:rPr>
                <w:color w:val="000000" w:themeColor="text1"/>
                <w:szCs w:val="16"/>
              </w:rPr>
            </w:pPr>
            <w:r w:rsidRPr="00DC36FF">
              <w:rPr>
                <w:color w:val="000000" w:themeColor="text1"/>
                <w:sz w:val="22"/>
                <w:szCs w:val="16"/>
              </w:rPr>
              <w:t xml:space="preserve">за предоставление денежных средств  </w:t>
            </w:r>
          </w:p>
        </w:tc>
        <w:tc>
          <w:tcPr>
            <w:tcW w:w="4643" w:type="dxa"/>
          </w:tcPr>
          <w:p w:rsidR="0096147D" w:rsidRPr="00DC36FF" w:rsidRDefault="0096147D" w:rsidP="003E6CEA">
            <w:pPr>
              <w:jc w:val="both"/>
              <w:rPr>
                <w:color w:val="000000" w:themeColor="text1"/>
                <w:szCs w:val="16"/>
              </w:rPr>
            </w:pPr>
            <w:r w:rsidRPr="00DC36FF">
              <w:rPr>
                <w:color w:val="000000" w:themeColor="text1"/>
                <w:sz w:val="22"/>
                <w:szCs w:val="16"/>
              </w:rPr>
              <w:t>18% годовых</w:t>
            </w:r>
          </w:p>
        </w:tc>
      </w:tr>
      <w:tr w:rsidR="0096147D" w:rsidRPr="00DC36FF" w:rsidTr="003E6CEA">
        <w:tc>
          <w:tcPr>
            <w:tcW w:w="4678" w:type="dxa"/>
          </w:tcPr>
          <w:p w:rsidR="0096147D" w:rsidRPr="00DC36FF" w:rsidRDefault="0096147D" w:rsidP="003E6CEA">
            <w:pPr>
              <w:jc w:val="both"/>
              <w:rPr>
                <w:color w:val="000000" w:themeColor="text1"/>
                <w:szCs w:val="16"/>
              </w:rPr>
            </w:pPr>
            <w:r w:rsidRPr="00DC36FF">
              <w:rPr>
                <w:color w:val="000000" w:themeColor="text1"/>
                <w:sz w:val="22"/>
                <w:szCs w:val="16"/>
              </w:rPr>
              <w:t xml:space="preserve">за предоставление ценных бумаг  </w:t>
            </w:r>
          </w:p>
        </w:tc>
        <w:tc>
          <w:tcPr>
            <w:tcW w:w="4643" w:type="dxa"/>
          </w:tcPr>
          <w:p w:rsidR="0096147D" w:rsidRPr="00DC36FF" w:rsidRDefault="0096147D" w:rsidP="003E6CEA">
            <w:pPr>
              <w:jc w:val="both"/>
              <w:rPr>
                <w:color w:val="000000" w:themeColor="text1"/>
                <w:szCs w:val="16"/>
              </w:rPr>
            </w:pPr>
            <w:r w:rsidRPr="00DC36FF">
              <w:rPr>
                <w:color w:val="000000" w:themeColor="text1"/>
                <w:sz w:val="22"/>
                <w:szCs w:val="16"/>
              </w:rPr>
              <w:t>12% годовых</w:t>
            </w:r>
          </w:p>
        </w:tc>
      </w:tr>
    </w:tbl>
    <w:p w:rsidR="0096147D" w:rsidRPr="00DC36FF" w:rsidRDefault="0096147D" w:rsidP="0096147D">
      <w:pPr>
        <w:rPr>
          <w:b/>
          <w:color w:val="000000" w:themeColor="text1"/>
          <w:sz w:val="18"/>
        </w:rPr>
      </w:pPr>
    </w:p>
    <w:p w:rsidR="0096147D" w:rsidRPr="00DC36FF" w:rsidRDefault="0096147D" w:rsidP="0096147D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DC36FF">
        <w:rPr>
          <w:rFonts w:ascii="Times New Roman" w:hAnsi="Times New Roman"/>
          <w:b/>
          <w:color w:val="000000" w:themeColor="text1"/>
        </w:rPr>
        <w:t xml:space="preserve">Дополнительное вознаграждение </w:t>
      </w:r>
      <w:r w:rsidRPr="00DC36FF">
        <w:rPr>
          <w:rFonts w:ascii="Times New Roman" w:hAnsi="Times New Roman"/>
          <w:b/>
          <w:bCs/>
          <w:color w:val="000000" w:themeColor="text1"/>
        </w:rPr>
        <w:t>Брокера</w:t>
      </w:r>
      <w:r w:rsidRPr="00DC36FF">
        <w:rPr>
          <w:rFonts w:ascii="Times New Roman" w:hAnsi="Times New Roman"/>
          <w:b/>
          <w:color w:val="000000" w:themeColor="text1"/>
        </w:rPr>
        <w:t xml:space="preserve"> за предоставление </w:t>
      </w:r>
      <w:r w:rsidRPr="00DC36FF">
        <w:rPr>
          <w:rFonts w:ascii="Times New Roman" w:hAnsi="Times New Roman"/>
          <w:b/>
          <w:bCs/>
          <w:color w:val="000000" w:themeColor="text1"/>
        </w:rPr>
        <w:t>маржинального займа</w:t>
      </w:r>
      <w:r w:rsidRPr="00DC36FF">
        <w:rPr>
          <w:rFonts w:ascii="Times New Roman" w:hAnsi="Times New Roman"/>
          <w:b/>
          <w:color w:val="000000" w:themeColor="text1"/>
        </w:rPr>
        <w:t xml:space="preserve"> денежными средствами в иностранной валюте (для нерезидентов РФ)</w:t>
      </w:r>
      <w:r w:rsidRPr="00DC36FF">
        <w:rPr>
          <w:rFonts w:ascii="Times New Roman" w:hAnsi="Times New Roman"/>
          <w:b/>
          <w:bCs/>
          <w:color w:val="000000" w:themeColor="text1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3"/>
      </w:tblGrid>
      <w:tr w:rsidR="0096147D" w:rsidRPr="00DC36FF" w:rsidTr="003E6CEA">
        <w:tc>
          <w:tcPr>
            <w:tcW w:w="4678" w:type="dxa"/>
          </w:tcPr>
          <w:p w:rsidR="0096147D" w:rsidRPr="00DC36FF" w:rsidRDefault="0096147D" w:rsidP="003E6C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>за предоставление денежных средств в евро</w:t>
            </w:r>
          </w:p>
        </w:tc>
        <w:tc>
          <w:tcPr>
            <w:tcW w:w="4643" w:type="dxa"/>
          </w:tcPr>
          <w:p w:rsidR="0096147D" w:rsidRPr="00DC36FF" w:rsidRDefault="0096147D" w:rsidP="003E6C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>1,5% годовых</w:t>
            </w:r>
          </w:p>
        </w:tc>
      </w:tr>
      <w:tr w:rsidR="0096147D" w:rsidRPr="00DC36FF" w:rsidTr="003E6CEA">
        <w:tc>
          <w:tcPr>
            <w:tcW w:w="4678" w:type="dxa"/>
          </w:tcPr>
          <w:p w:rsidR="0096147D" w:rsidRPr="00DC36FF" w:rsidRDefault="0096147D" w:rsidP="003E6C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>за предоставление денежных сре</w:t>
            </w:r>
            <w:proofErr w:type="gramStart"/>
            <w:r w:rsidRPr="00DC36FF">
              <w:rPr>
                <w:color w:val="000000" w:themeColor="text1"/>
                <w:sz w:val="22"/>
                <w:szCs w:val="22"/>
              </w:rPr>
              <w:t>дств в д</w:t>
            </w:r>
            <w:proofErr w:type="gramEnd"/>
            <w:r w:rsidRPr="00DC36FF">
              <w:rPr>
                <w:color w:val="000000" w:themeColor="text1"/>
                <w:sz w:val="22"/>
                <w:szCs w:val="22"/>
              </w:rPr>
              <w:t xml:space="preserve">олларах США </w:t>
            </w:r>
          </w:p>
        </w:tc>
        <w:tc>
          <w:tcPr>
            <w:tcW w:w="4643" w:type="dxa"/>
          </w:tcPr>
          <w:p w:rsidR="0096147D" w:rsidRPr="00DC36FF" w:rsidRDefault="0096147D" w:rsidP="003E6C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>2% годовых</w:t>
            </w:r>
          </w:p>
        </w:tc>
      </w:tr>
    </w:tbl>
    <w:p w:rsidR="0096147D" w:rsidRPr="00DC36FF" w:rsidRDefault="0096147D" w:rsidP="0096147D">
      <w:pPr>
        <w:rPr>
          <w:color w:val="000000" w:themeColor="text1"/>
          <w:sz w:val="12"/>
          <w:szCs w:val="12"/>
        </w:rPr>
      </w:pPr>
    </w:p>
    <w:p w:rsidR="0096147D" w:rsidRPr="00DC36FF" w:rsidRDefault="0096147D" w:rsidP="0096147D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6FF">
        <w:rPr>
          <w:rFonts w:ascii="Times New Roman" w:hAnsi="Times New Roman"/>
          <w:color w:val="000000" w:themeColor="text1"/>
          <w:sz w:val="20"/>
          <w:szCs w:val="20"/>
        </w:rPr>
        <w:t xml:space="preserve">Вознаграждение Брокера взимается в рублях по курсу Банка России, установленному на дату заключения сделки. </w:t>
      </w:r>
    </w:p>
    <w:p w:rsidR="0096147D" w:rsidRPr="00DC36FF" w:rsidRDefault="0096147D" w:rsidP="0096147D">
      <w:pPr>
        <w:rPr>
          <w:b/>
          <w:color w:val="000000" w:themeColor="text1"/>
          <w:sz w:val="18"/>
        </w:rPr>
      </w:pPr>
    </w:p>
    <w:p w:rsidR="0096147D" w:rsidRPr="00DC36FF" w:rsidRDefault="0096147D" w:rsidP="0096147D">
      <w:pPr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r w:rsidRPr="00DC36FF">
        <w:rPr>
          <w:b/>
          <w:color w:val="000000" w:themeColor="text1"/>
          <w:sz w:val="22"/>
          <w:szCs w:val="22"/>
        </w:rPr>
        <w:t xml:space="preserve">Стоимость обслуживания на срочном рынке </w:t>
      </w:r>
      <w:r w:rsidRPr="00DC36FF">
        <w:rPr>
          <w:color w:val="000000" w:themeColor="text1"/>
          <w:sz w:val="22"/>
          <w:szCs w:val="22"/>
        </w:rPr>
        <w:t>ПАО Московская Биржа</w:t>
      </w:r>
      <w:r w:rsidRPr="00DC36FF">
        <w:rPr>
          <w:b/>
          <w:color w:val="000000" w:themeColor="text1"/>
          <w:sz w:val="22"/>
          <w:szCs w:val="22"/>
        </w:rPr>
        <w:t>:</w:t>
      </w:r>
    </w:p>
    <w:tbl>
      <w:tblPr>
        <w:tblW w:w="9503" w:type="dxa"/>
        <w:jc w:val="center"/>
        <w:tblLook w:val="0000" w:firstRow="0" w:lastRow="0" w:firstColumn="0" w:lastColumn="0" w:noHBand="0" w:noVBand="0"/>
      </w:tblPr>
      <w:tblGrid>
        <w:gridCol w:w="4653"/>
        <w:gridCol w:w="4850"/>
      </w:tblGrid>
      <w:tr w:rsidR="0096147D" w:rsidRPr="00DC36FF" w:rsidTr="003E6CEA">
        <w:trPr>
          <w:trHeight w:val="315"/>
          <w:jc w:val="center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 xml:space="preserve">Открытие счета </w:t>
            </w:r>
          </w:p>
        </w:tc>
        <w:tc>
          <w:tcPr>
            <w:tcW w:w="4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Бесплатно</w:t>
            </w:r>
          </w:p>
        </w:tc>
      </w:tr>
      <w:tr w:rsidR="0096147D" w:rsidRPr="00DC36FF" w:rsidTr="003E6CEA">
        <w:trPr>
          <w:trHeight w:val="233"/>
          <w:jc w:val="center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 xml:space="preserve">Ведение счета </w:t>
            </w:r>
          </w:p>
        </w:tc>
        <w:tc>
          <w:tcPr>
            <w:tcW w:w="4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6147D" w:rsidRPr="00DC36FF" w:rsidTr="003E6CEA">
        <w:trPr>
          <w:trHeight w:val="315"/>
          <w:jc w:val="center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DC36FF">
              <w:rPr>
                <w:b/>
                <w:color w:val="000000" w:themeColor="text1"/>
                <w:sz w:val="20"/>
                <w:szCs w:val="20"/>
              </w:rPr>
              <w:t>Наименование контракта</w:t>
            </w:r>
            <w:r w:rsidRPr="00DC36FF">
              <w:rPr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rPr>
                <w:b/>
                <w:color w:val="000000" w:themeColor="text1"/>
                <w:sz w:val="20"/>
                <w:szCs w:val="20"/>
              </w:rPr>
            </w:pPr>
            <w:r w:rsidRPr="00DC36FF">
              <w:rPr>
                <w:b/>
                <w:color w:val="000000" w:themeColor="text1"/>
                <w:sz w:val="20"/>
                <w:szCs w:val="20"/>
              </w:rPr>
              <w:t xml:space="preserve">Тариф за контракт (регистрация сделки): </w:t>
            </w:r>
          </w:p>
        </w:tc>
      </w:tr>
      <w:tr w:rsidR="0096147D" w:rsidRPr="00DC36FF" w:rsidTr="003E6CEA">
        <w:trPr>
          <w:trHeight w:val="255"/>
          <w:jc w:val="center"/>
        </w:trPr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47D" w:rsidRPr="00DC36FF" w:rsidRDefault="0096147D" w:rsidP="003E6CEA">
            <w:pPr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 xml:space="preserve">Поставочный фьючерсный контракт </w:t>
            </w:r>
          </w:p>
        </w:tc>
        <w:tc>
          <w:tcPr>
            <w:tcW w:w="4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47D" w:rsidRPr="00DC36FF" w:rsidRDefault="0096147D" w:rsidP="003E6CEA">
            <w:pPr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1,00 руб.</w:t>
            </w:r>
          </w:p>
        </w:tc>
      </w:tr>
      <w:tr w:rsidR="0096147D" w:rsidRPr="00DC36FF" w:rsidTr="003E6CEA">
        <w:trPr>
          <w:trHeight w:val="255"/>
          <w:jc w:val="center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47D" w:rsidRPr="00DC36FF" w:rsidRDefault="0096147D" w:rsidP="003E6CEA">
            <w:pPr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 xml:space="preserve">Расчетный фьючерсный контракт 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47D" w:rsidRPr="00DC36FF" w:rsidRDefault="0096147D" w:rsidP="003E6CEA">
            <w:pPr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1,00 руб.</w:t>
            </w:r>
          </w:p>
        </w:tc>
      </w:tr>
      <w:tr w:rsidR="0096147D" w:rsidRPr="00DC36FF" w:rsidTr="003E6CEA">
        <w:trPr>
          <w:trHeight w:val="255"/>
          <w:jc w:val="center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47D" w:rsidRPr="00DC36FF" w:rsidRDefault="0096147D" w:rsidP="003E6CEA">
            <w:pPr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 xml:space="preserve">Опцион на фьючерсный контракт 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47D" w:rsidRPr="00DC36FF" w:rsidRDefault="0096147D" w:rsidP="003E6CEA">
            <w:pPr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1,00 руб.</w:t>
            </w:r>
          </w:p>
        </w:tc>
      </w:tr>
    </w:tbl>
    <w:p w:rsidR="0096147D" w:rsidRPr="00DC36FF" w:rsidRDefault="0096147D" w:rsidP="0096147D">
      <w:pPr>
        <w:ind w:left="360"/>
        <w:rPr>
          <w:b/>
          <w:bCs/>
          <w:color w:val="000000" w:themeColor="text1"/>
          <w:sz w:val="22"/>
          <w:szCs w:val="16"/>
        </w:rPr>
      </w:pPr>
    </w:p>
    <w:p w:rsidR="0096147D" w:rsidRPr="00DC36FF" w:rsidRDefault="0096147D" w:rsidP="0096147D">
      <w:pPr>
        <w:numPr>
          <w:ilvl w:val="0"/>
          <w:numId w:val="1"/>
        </w:numPr>
        <w:rPr>
          <w:b/>
          <w:bCs/>
          <w:color w:val="000000" w:themeColor="text1"/>
          <w:sz w:val="22"/>
          <w:szCs w:val="16"/>
        </w:rPr>
      </w:pPr>
      <w:r w:rsidRPr="00DC36FF">
        <w:rPr>
          <w:b/>
          <w:bCs/>
          <w:color w:val="000000" w:themeColor="text1"/>
          <w:sz w:val="22"/>
          <w:szCs w:val="16"/>
        </w:rPr>
        <w:t>Вознаграждение Брокера за совершение операций с векселями:</w:t>
      </w:r>
    </w:p>
    <w:p w:rsidR="0096147D" w:rsidRPr="00DC36FF" w:rsidRDefault="0096147D" w:rsidP="0096147D">
      <w:pPr>
        <w:ind w:left="284"/>
        <w:rPr>
          <w:bCs/>
          <w:color w:val="000000" w:themeColor="text1"/>
          <w:sz w:val="22"/>
          <w:szCs w:val="16"/>
          <w:u w:val="single"/>
        </w:rPr>
      </w:pPr>
      <w:r w:rsidRPr="00DC36FF">
        <w:rPr>
          <w:bCs/>
          <w:color w:val="000000" w:themeColor="text1"/>
          <w:sz w:val="22"/>
          <w:szCs w:val="16"/>
          <w:u w:val="single"/>
        </w:rPr>
        <w:t>Сделки купли-продажи векселей на вторичном рынке: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96147D" w:rsidRPr="00DC36FF" w:rsidTr="003E6CEA">
        <w:trPr>
          <w:cantSplit/>
          <w:trHeight w:val="24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DC36FF">
              <w:rPr>
                <w:b/>
                <w:color w:val="000000" w:themeColor="text1"/>
                <w:sz w:val="20"/>
              </w:rPr>
              <w:t xml:space="preserve">Общий объем операций Клиента по покупке-продаже векселей, </w:t>
            </w:r>
            <w:r w:rsidRPr="00DC36FF">
              <w:rPr>
                <w:bCs/>
                <w:color w:val="000000" w:themeColor="text1"/>
                <w:sz w:val="20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DC36FF">
              <w:rPr>
                <w:b/>
                <w:color w:val="000000" w:themeColor="text1"/>
                <w:sz w:val="20"/>
              </w:rPr>
              <w:t>Комиссионное вознаграждение Брокера (в зависимости от объёма операций по покупке-продаже векселей), %</w:t>
            </w:r>
          </w:p>
        </w:tc>
      </w:tr>
      <w:tr w:rsidR="0096147D" w:rsidRPr="00DC36FF" w:rsidTr="003E6CEA">
        <w:trPr>
          <w:cantSplit/>
          <w:trHeight w:val="240"/>
        </w:trPr>
        <w:tc>
          <w:tcPr>
            <w:tcW w:w="4820" w:type="dxa"/>
            <w:tcBorders>
              <w:top w:val="single" w:sz="4" w:space="0" w:color="auto"/>
            </w:tcBorders>
          </w:tcPr>
          <w:p w:rsidR="0096147D" w:rsidRPr="00DC36FF" w:rsidRDefault="0096147D" w:rsidP="003E6CEA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</w:rPr>
              <w:t>до 5 000 000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0,4 %, но не менее 2 000 руб.</w:t>
            </w:r>
          </w:p>
        </w:tc>
      </w:tr>
      <w:tr w:rsidR="0096147D" w:rsidRPr="00DC36FF" w:rsidTr="003E6CEA">
        <w:trPr>
          <w:cantSplit/>
          <w:trHeight w:val="240"/>
        </w:trPr>
        <w:tc>
          <w:tcPr>
            <w:tcW w:w="4820" w:type="dxa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</w:rPr>
              <w:t>от 5 000 001 до 20 000 000</w:t>
            </w:r>
          </w:p>
        </w:tc>
        <w:tc>
          <w:tcPr>
            <w:tcW w:w="4819" w:type="dxa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0,3</w:t>
            </w:r>
            <w:r w:rsidRPr="00DC36FF">
              <w:rPr>
                <w:color w:val="000000" w:themeColor="text1"/>
                <w:sz w:val="20"/>
                <w:szCs w:val="16"/>
              </w:rPr>
              <w:t>%</w:t>
            </w:r>
          </w:p>
        </w:tc>
      </w:tr>
      <w:tr w:rsidR="0096147D" w:rsidRPr="00DC36FF" w:rsidTr="003E6CEA">
        <w:trPr>
          <w:cantSplit/>
          <w:trHeight w:val="240"/>
        </w:trPr>
        <w:tc>
          <w:tcPr>
            <w:tcW w:w="4820" w:type="dxa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</w:rPr>
              <w:t>от 20 000 001 до 50 000 000</w:t>
            </w:r>
          </w:p>
        </w:tc>
        <w:tc>
          <w:tcPr>
            <w:tcW w:w="4819" w:type="dxa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0,2 %</w:t>
            </w:r>
          </w:p>
        </w:tc>
      </w:tr>
      <w:tr w:rsidR="0096147D" w:rsidRPr="00DC36FF" w:rsidTr="003E6CEA">
        <w:trPr>
          <w:cantSplit/>
          <w:trHeight w:val="240"/>
        </w:trPr>
        <w:tc>
          <w:tcPr>
            <w:tcW w:w="4820" w:type="dxa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</w:rPr>
              <w:t>от 50 000 001 до 100 000 000</w:t>
            </w:r>
          </w:p>
        </w:tc>
        <w:tc>
          <w:tcPr>
            <w:tcW w:w="4819" w:type="dxa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0,1 %</w:t>
            </w:r>
          </w:p>
        </w:tc>
      </w:tr>
      <w:tr w:rsidR="0096147D" w:rsidRPr="00DC36FF" w:rsidTr="003E6CEA">
        <w:trPr>
          <w:cantSplit/>
          <w:trHeight w:val="240"/>
        </w:trPr>
        <w:tc>
          <w:tcPr>
            <w:tcW w:w="4820" w:type="dxa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</w:rPr>
              <w:t>от 100 000 001 до 200 000 000</w:t>
            </w:r>
          </w:p>
        </w:tc>
        <w:tc>
          <w:tcPr>
            <w:tcW w:w="4819" w:type="dxa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0,05 %</w:t>
            </w:r>
          </w:p>
        </w:tc>
      </w:tr>
      <w:tr w:rsidR="0096147D" w:rsidRPr="00DC36FF" w:rsidTr="003E6CEA">
        <w:trPr>
          <w:cantSplit/>
          <w:trHeight w:val="240"/>
        </w:trPr>
        <w:tc>
          <w:tcPr>
            <w:tcW w:w="4820" w:type="dxa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</w:rPr>
              <w:t xml:space="preserve">Свыше 200 000 001 </w:t>
            </w:r>
          </w:p>
        </w:tc>
        <w:tc>
          <w:tcPr>
            <w:tcW w:w="4819" w:type="dxa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0,02%</w:t>
            </w:r>
          </w:p>
        </w:tc>
      </w:tr>
    </w:tbl>
    <w:p w:rsidR="0096147D" w:rsidRPr="00DC36FF" w:rsidRDefault="0096147D" w:rsidP="0096147D">
      <w:pPr>
        <w:rPr>
          <w:color w:val="000000" w:themeColor="text1"/>
          <w:sz w:val="16"/>
          <w:szCs w:val="16"/>
        </w:rPr>
      </w:pPr>
    </w:p>
    <w:p w:rsidR="0096147D" w:rsidRPr="00DC36FF" w:rsidRDefault="0096147D" w:rsidP="0096147D">
      <w:pPr>
        <w:rPr>
          <w:bCs/>
          <w:color w:val="000000" w:themeColor="text1"/>
          <w:sz w:val="22"/>
          <w:szCs w:val="16"/>
          <w:u w:val="single"/>
        </w:rPr>
      </w:pPr>
      <w:r w:rsidRPr="00DC36FF">
        <w:rPr>
          <w:bCs/>
          <w:color w:val="000000" w:themeColor="text1"/>
          <w:sz w:val="22"/>
          <w:szCs w:val="16"/>
          <w:u w:val="single"/>
        </w:rPr>
        <w:lastRenderedPageBreak/>
        <w:t>Погашение векселей у векселедателя: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96147D" w:rsidRPr="00DC36FF" w:rsidTr="003E6CEA">
        <w:trPr>
          <w:cantSplit/>
          <w:trHeight w:val="24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DC36FF">
              <w:rPr>
                <w:b/>
                <w:color w:val="000000" w:themeColor="text1"/>
                <w:sz w:val="20"/>
              </w:rPr>
              <w:t xml:space="preserve">Общий объем операций Клиента по погашению векселей у векселедателя, </w:t>
            </w:r>
            <w:r w:rsidRPr="00DC36FF">
              <w:rPr>
                <w:bCs/>
                <w:color w:val="000000" w:themeColor="text1"/>
                <w:sz w:val="20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DC36FF">
              <w:rPr>
                <w:b/>
                <w:color w:val="000000" w:themeColor="text1"/>
                <w:sz w:val="20"/>
              </w:rPr>
              <w:t>Комиссионное вознаграждение Брокера (в зависимости от объёма операций по погашению векселей у векселедателя), %</w:t>
            </w:r>
          </w:p>
        </w:tc>
      </w:tr>
      <w:tr w:rsidR="0096147D" w:rsidRPr="00DC36FF" w:rsidTr="003E6CEA">
        <w:trPr>
          <w:cantSplit/>
          <w:trHeight w:val="240"/>
        </w:trPr>
        <w:tc>
          <w:tcPr>
            <w:tcW w:w="4820" w:type="dxa"/>
            <w:tcBorders>
              <w:top w:val="single" w:sz="4" w:space="0" w:color="auto"/>
            </w:tcBorders>
          </w:tcPr>
          <w:p w:rsidR="0096147D" w:rsidRPr="00DC36FF" w:rsidRDefault="0096147D" w:rsidP="003E6CEA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</w:rPr>
              <w:t>до 5 000 000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0,3 %, но не менее 2 000 руб.</w:t>
            </w:r>
          </w:p>
        </w:tc>
      </w:tr>
      <w:tr w:rsidR="0096147D" w:rsidRPr="00DC36FF" w:rsidTr="003E6CEA">
        <w:trPr>
          <w:cantSplit/>
          <w:trHeight w:val="240"/>
        </w:trPr>
        <w:tc>
          <w:tcPr>
            <w:tcW w:w="4820" w:type="dxa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</w:rPr>
              <w:t>от 5 000 001 до 20 000 000</w:t>
            </w:r>
          </w:p>
        </w:tc>
        <w:tc>
          <w:tcPr>
            <w:tcW w:w="4819" w:type="dxa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0,2</w:t>
            </w:r>
            <w:r w:rsidRPr="00DC36FF"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96147D" w:rsidRPr="00DC36FF" w:rsidTr="003E6CEA">
        <w:trPr>
          <w:cantSplit/>
          <w:trHeight w:val="240"/>
        </w:trPr>
        <w:tc>
          <w:tcPr>
            <w:tcW w:w="4820" w:type="dxa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</w:rPr>
              <w:t>от 20 000 001 до 50 000 000</w:t>
            </w:r>
          </w:p>
        </w:tc>
        <w:tc>
          <w:tcPr>
            <w:tcW w:w="4819" w:type="dxa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0,1 %</w:t>
            </w:r>
          </w:p>
        </w:tc>
      </w:tr>
      <w:tr w:rsidR="0096147D" w:rsidRPr="00DC36FF" w:rsidTr="003E6CEA">
        <w:trPr>
          <w:cantSplit/>
          <w:trHeight w:val="240"/>
        </w:trPr>
        <w:tc>
          <w:tcPr>
            <w:tcW w:w="4820" w:type="dxa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</w:rPr>
              <w:t>от 50 000 001 до 100 000 000</w:t>
            </w:r>
          </w:p>
        </w:tc>
        <w:tc>
          <w:tcPr>
            <w:tcW w:w="4819" w:type="dxa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0,05 %</w:t>
            </w:r>
          </w:p>
        </w:tc>
      </w:tr>
      <w:tr w:rsidR="0096147D" w:rsidRPr="00DC36FF" w:rsidTr="003E6CEA">
        <w:trPr>
          <w:cantSplit/>
          <w:trHeight w:val="240"/>
        </w:trPr>
        <w:tc>
          <w:tcPr>
            <w:tcW w:w="4820" w:type="dxa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</w:rPr>
              <w:t>от 100 000 001 до 200 000 000</w:t>
            </w:r>
          </w:p>
        </w:tc>
        <w:tc>
          <w:tcPr>
            <w:tcW w:w="4819" w:type="dxa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0,02 %</w:t>
            </w:r>
          </w:p>
        </w:tc>
      </w:tr>
      <w:tr w:rsidR="0096147D" w:rsidRPr="00DC36FF" w:rsidTr="003E6CEA">
        <w:trPr>
          <w:cantSplit/>
          <w:trHeight w:val="240"/>
        </w:trPr>
        <w:tc>
          <w:tcPr>
            <w:tcW w:w="4820" w:type="dxa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</w:rPr>
              <w:t xml:space="preserve">Свыше 200 000 001 </w:t>
            </w:r>
          </w:p>
        </w:tc>
        <w:tc>
          <w:tcPr>
            <w:tcW w:w="4819" w:type="dxa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0,01%</w:t>
            </w:r>
          </w:p>
        </w:tc>
      </w:tr>
    </w:tbl>
    <w:p w:rsidR="0096147D" w:rsidRPr="00DC36FF" w:rsidRDefault="0096147D" w:rsidP="0096147D">
      <w:pPr>
        <w:jc w:val="both"/>
        <w:rPr>
          <w:color w:val="000000" w:themeColor="text1"/>
          <w:sz w:val="20"/>
          <w:szCs w:val="20"/>
        </w:rPr>
      </w:pPr>
    </w:p>
    <w:p w:rsidR="0096147D" w:rsidRPr="00DC36FF" w:rsidRDefault="0096147D" w:rsidP="0096147D">
      <w:pPr>
        <w:ind w:left="360"/>
        <w:jc w:val="both"/>
        <w:rPr>
          <w:b/>
          <w:color w:val="000000" w:themeColor="text1"/>
          <w:sz w:val="20"/>
          <w:szCs w:val="20"/>
        </w:rPr>
      </w:pPr>
      <w:r w:rsidRPr="00DC36FF">
        <w:rPr>
          <w:b/>
          <w:bCs/>
          <w:color w:val="000000" w:themeColor="text1"/>
          <w:sz w:val="22"/>
          <w:szCs w:val="16"/>
        </w:rPr>
        <w:t>6. Вознаграждение Брокера за конверсионные сделки</w:t>
      </w:r>
      <w:r w:rsidRPr="00DC36FF">
        <w:rPr>
          <w:b/>
          <w:color w:val="000000" w:themeColor="text1"/>
          <w:sz w:val="22"/>
          <w:szCs w:val="22"/>
        </w:rPr>
        <w:t>:</w:t>
      </w:r>
    </w:p>
    <w:p w:rsidR="0096147D" w:rsidRPr="00DC36FF" w:rsidRDefault="0096147D" w:rsidP="0096147D">
      <w:pPr>
        <w:jc w:val="both"/>
        <w:rPr>
          <w:color w:val="000000" w:themeColor="text1"/>
          <w:sz w:val="20"/>
          <w:szCs w:val="20"/>
        </w:rPr>
      </w:pPr>
    </w:p>
    <w:tbl>
      <w:tblPr>
        <w:tblW w:w="9236" w:type="dxa"/>
        <w:jc w:val="center"/>
        <w:tblLook w:val="0000" w:firstRow="0" w:lastRow="0" w:firstColumn="0" w:lastColumn="0" w:noHBand="0" w:noVBand="0"/>
      </w:tblPr>
      <w:tblGrid>
        <w:gridCol w:w="3485"/>
        <w:gridCol w:w="5751"/>
      </w:tblGrid>
      <w:tr w:rsidR="0096147D" w:rsidRPr="00DC36FF" w:rsidTr="003E6CEA">
        <w:trPr>
          <w:trHeight w:val="405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>Оборот за день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>Комиссионное вознаграждение Брокера</w:t>
            </w:r>
          </w:p>
        </w:tc>
      </w:tr>
      <w:tr w:rsidR="0096147D" w:rsidRPr="00DC36FF" w:rsidTr="003E6CEA">
        <w:trPr>
          <w:trHeight w:val="69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>Вне зависимости от оборота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 xml:space="preserve">0,1% (Ноль целых и одна десятая процента) </w:t>
            </w:r>
          </w:p>
          <w:p w:rsidR="0096147D" w:rsidRPr="00DC36FF" w:rsidRDefault="0096147D" w:rsidP="003E6CEA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>от каждой конверсионной сделки</w:t>
            </w:r>
          </w:p>
        </w:tc>
      </w:tr>
    </w:tbl>
    <w:p w:rsidR="0096147D" w:rsidRPr="00DC36FF" w:rsidRDefault="0096147D" w:rsidP="0096147D">
      <w:pPr>
        <w:pStyle w:val="a3"/>
        <w:ind w:left="360"/>
        <w:rPr>
          <w:b/>
          <w:i/>
          <w:color w:val="000000" w:themeColor="text1"/>
          <w:sz w:val="22"/>
          <w:szCs w:val="22"/>
          <w:u w:val="single"/>
        </w:rPr>
      </w:pPr>
      <w:r w:rsidRPr="00DC36FF">
        <w:rPr>
          <w:b/>
          <w:color w:val="000000" w:themeColor="text1"/>
          <w:sz w:val="22"/>
          <w:szCs w:val="22"/>
          <w:u w:val="single"/>
        </w:rPr>
        <w:t>(</w:t>
      </w:r>
      <w:r w:rsidRPr="00DC36FF">
        <w:rPr>
          <w:b/>
          <w:i/>
          <w:color w:val="000000" w:themeColor="text1"/>
          <w:sz w:val="22"/>
          <w:szCs w:val="22"/>
          <w:u w:val="single"/>
        </w:rPr>
        <w:t>Тариф включает НДС)</w:t>
      </w:r>
    </w:p>
    <w:p w:rsidR="0096147D" w:rsidRPr="00DC36FF" w:rsidRDefault="0096147D" w:rsidP="0096147D">
      <w:pPr>
        <w:jc w:val="both"/>
        <w:rPr>
          <w:color w:val="000000" w:themeColor="text1"/>
          <w:sz w:val="20"/>
          <w:szCs w:val="20"/>
          <w:lang w:val="en-US"/>
        </w:rPr>
      </w:pPr>
    </w:p>
    <w:p w:rsidR="0096147D" w:rsidRPr="00DC36FF" w:rsidRDefault="0096147D" w:rsidP="0096147D">
      <w:pPr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  <w:r w:rsidRPr="00DC36FF">
        <w:rPr>
          <w:b/>
          <w:bCs/>
          <w:color w:val="000000" w:themeColor="text1"/>
          <w:sz w:val="22"/>
          <w:szCs w:val="22"/>
        </w:rPr>
        <w:t xml:space="preserve">6.1. Вознаграждение Брокера за </w:t>
      </w:r>
      <w:r w:rsidRPr="00DC36FF">
        <w:rPr>
          <w:b/>
          <w:color w:val="000000" w:themeColor="text1"/>
          <w:sz w:val="22"/>
          <w:szCs w:val="22"/>
        </w:rPr>
        <w:t>сделки типа «своп» (</w:t>
      </w:r>
      <w:r w:rsidRPr="00DC36FF">
        <w:rPr>
          <w:b/>
          <w:color w:val="000000" w:themeColor="text1"/>
          <w:sz w:val="22"/>
          <w:szCs w:val="22"/>
          <w:lang w:val="en-US"/>
        </w:rPr>
        <w:t>swap</w:t>
      </w:r>
      <w:r w:rsidRPr="00DC36FF">
        <w:rPr>
          <w:b/>
          <w:color w:val="000000" w:themeColor="text1"/>
          <w:sz w:val="22"/>
          <w:szCs w:val="22"/>
        </w:rPr>
        <w:t>)</w:t>
      </w:r>
      <w:r w:rsidRPr="00DC36FF">
        <w:rPr>
          <w:b/>
          <w:bCs/>
          <w:color w:val="000000" w:themeColor="text1"/>
          <w:sz w:val="22"/>
          <w:szCs w:val="22"/>
        </w:rPr>
        <w:t xml:space="preserve"> на валютном рынке и рынке драгоценных металлов </w:t>
      </w:r>
      <w:r w:rsidRPr="00DC36FF">
        <w:rPr>
          <w:b/>
          <w:color w:val="000000" w:themeColor="text1"/>
          <w:sz w:val="22"/>
          <w:szCs w:val="22"/>
        </w:rPr>
        <w:t>ПАО Московская Биржа:</w:t>
      </w:r>
    </w:p>
    <w:p w:rsidR="0096147D" w:rsidRPr="00DC36FF" w:rsidRDefault="0096147D" w:rsidP="0096147D">
      <w:pPr>
        <w:jc w:val="both"/>
        <w:rPr>
          <w:color w:val="000000" w:themeColor="text1"/>
          <w:sz w:val="22"/>
          <w:szCs w:val="22"/>
        </w:rPr>
      </w:pPr>
    </w:p>
    <w:tbl>
      <w:tblPr>
        <w:tblW w:w="9236" w:type="dxa"/>
        <w:jc w:val="center"/>
        <w:tblLook w:val="0000" w:firstRow="0" w:lastRow="0" w:firstColumn="0" w:lastColumn="0" w:noHBand="0" w:noVBand="0"/>
      </w:tblPr>
      <w:tblGrid>
        <w:gridCol w:w="4519"/>
        <w:gridCol w:w="4717"/>
      </w:tblGrid>
      <w:tr w:rsidR="0096147D" w:rsidRPr="00DC36FF" w:rsidTr="003E6CEA">
        <w:trPr>
          <w:trHeight w:val="405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Оборот за день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 xml:space="preserve">Комиссионное вознаграждение Брокера (% от суммы первой части сделки)  </w:t>
            </w:r>
          </w:p>
        </w:tc>
      </w:tr>
      <w:tr w:rsidR="0096147D" w:rsidRPr="00DC36FF" w:rsidTr="003E6CEA">
        <w:trPr>
          <w:trHeight w:val="405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Вне зависимости от оборота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 xml:space="preserve">0,75 годовых % </w:t>
            </w:r>
          </w:p>
        </w:tc>
      </w:tr>
    </w:tbl>
    <w:p w:rsidR="0096147D" w:rsidRPr="00DC36FF" w:rsidRDefault="0096147D" w:rsidP="0096147D">
      <w:pPr>
        <w:pStyle w:val="a3"/>
        <w:tabs>
          <w:tab w:val="clear" w:pos="4153"/>
          <w:tab w:val="clear" w:pos="8306"/>
        </w:tabs>
        <w:ind w:left="360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DC36FF">
        <w:rPr>
          <w:b/>
          <w:color w:val="000000" w:themeColor="text1"/>
          <w:sz w:val="22"/>
          <w:szCs w:val="22"/>
          <w:u w:val="single"/>
        </w:rPr>
        <w:t>(</w:t>
      </w:r>
      <w:r w:rsidRPr="00DC36FF">
        <w:rPr>
          <w:b/>
          <w:i/>
          <w:color w:val="000000" w:themeColor="text1"/>
          <w:sz w:val="22"/>
          <w:szCs w:val="22"/>
          <w:u w:val="single"/>
        </w:rPr>
        <w:t>Тариф включает НДС)</w:t>
      </w:r>
    </w:p>
    <w:p w:rsidR="0096147D" w:rsidRPr="00DC36FF" w:rsidRDefault="0096147D" w:rsidP="0096147D">
      <w:pPr>
        <w:jc w:val="both"/>
        <w:rPr>
          <w:color w:val="000000" w:themeColor="text1"/>
          <w:sz w:val="22"/>
          <w:szCs w:val="22"/>
        </w:rPr>
      </w:pPr>
    </w:p>
    <w:p w:rsidR="0096147D" w:rsidRPr="00DC36FF" w:rsidRDefault="0096147D" w:rsidP="0096147D">
      <w:pPr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  <w:r w:rsidRPr="00DC36FF">
        <w:rPr>
          <w:b/>
          <w:bCs/>
          <w:color w:val="000000" w:themeColor="text1"/>
          <w:sz w:val="22"/>
          <w:szCs w:val="22"/>
        </w:rPr>
        <w:t xml:space="preserve">6.2. Вознаграждение Брокера за </w:t>
      </w:r>
      <w:r w:rsidRPr="00DC36FF">
        <w:rPr>
          <w:b/>
          <w:color w:val="000000" w:themeColor="text1"/>
          <w:sz w:val="22"/>
          <w:szCs w:val="22"/>
        </w:rPr>
        <w:t>хранение иностранной валюты (доллары США, фунты стерлингов, евро и швейцарские франки):</w:t>
      </w:r>
    </w:p>
    <w:p w:rsidR="0096147D" w:rsidRPr="00DC36FF" w:rsidRDefault="0096147D" w:rsidP="0096147D">
      <w:pPr>
        <w:autoSpaceDE w:val="0"/>
        <w:autoSpaceDN w:val="0"/>
        <w:adjustRightInd w:val="0"/>
        <w:jc w:val="both"/>
        <w:rPr>
          <w:b/>
          <w:color w:val="000000" w:themeColor="text1"/>
          <w:sz w:val="6"/>
          <w:szCs w:val="6"/>
        </w:rPr>
      </w:pPr>
    </w:p>
    <w:tbl>
      <w:tblPr>
        <w:tblW w:w="6987" w:type="dxa"/>
        <w:jc w:val="center"/>
        <w:tblLook w:val="0000" w:firstRow="0" w:lastRow="0" w:firstColumn="0" w:lastColumn="0" w:noHBand="0" w:noVBand="0"/>
      </w:tblPr>
      <w:tblGrid>
        <w:gridCol w:w="6987"/>
      </w:tblGrid>
      <w:tr w:rsidR="0096147D" w:rsidRPr="00DC36FF" w:rsidTr="003E6CEA">
        <w:trPr>
          <w:trHeight w:val="1026"/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>Комиссионное вознаграждение Брокера</w:t>
            </w:r>
          </w:p>
          <w:p w:rsidR="0096147D" w:rsidRPr="00DC36FF" w:rsidRDefault="0096147D" w:rsidP="003E6C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>(от суммы денежных средств на Счете Клиента на конец дня)</w:t>
            </w:r>
          </w:p>
        </w:tc>
      </w:tr>
      <w:tr w:rsidR="0096147D" w:rsidRPr="00DC36FF" w:rsidTr="003E6CEA">
        <w:trPr>
          <w:trHeight w:val="1789"/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36FF">
              <w:rPr>
                <w:b/>
                <w:color w:val="000000" w:themeColor="text1"/>
                <w:sz w:val="22"/>
                <w:szCs w:val="22"/>
              </w:rPr>
              <w:t>5% (Пять процентов) годовых</w:t>
            </w:r>
            <w:r w:rsidRPr="00DC36FF">
              <w:rPr>
                <w:color w:val="000000" w:themeColor="text1"/>
                <w:sz w:val="22"/>
                <w:szCs w:val="22"/>
              </w:rPr>
              <w:t>.</w:t>
            </w:r>
          </w:p>
          <w:p w:rsidR="0096147D" w:rsidRPr="00DC36FF" w:rsidRDefault="0096147D" w:rsidP="003E6C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 xml:space="preserve">Комиссионное вознаграждение начисляется ежедневно, при этом Брокер вправе, безотносительно каких-либо условий и без предварительного уведомления, в любой рабочий день начать начисление комиссионного вознаграждения за хранение иностранной валюты </w:t>
            </w:r>
            <w:r w:rsidRPr="00DC36FF">
              <w:rPr>
                <w:b/>
                <w:color w:val="000000" w:themeColor="text1"/>
                <w:sz w:val="22"/>
                <w:szCs w:val="22"/>
              </w:rPr>
              <w:t>в размере 10% (Десять процентов) годовых</w:t>
            </w:r>
            <w:r w:rsidRPr="00DC36FF">
              <w:rPr>
                <w:color w:val="000000" w:themeColor="text1"/>
                <w:sz w:val="22"/>
                <w:szCs w:val="22"/>
              </w:rPr>
              <w:t>.</w:t>
            </w:r>
          </w:p>
          <w:p w:rsidR="0096147D" w:rsidRPr="00DC36FF" w:rsidRDefault="0096147D" w:rsidP="003E6CE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6147D" w:rsidRPr="00DC36FF" w:rsidRDefault="0096147D" w:rsidP="003E6C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>Комиссионное вознаграждение начисляется ежедневно.</w:t>
            </w:r>
          </w:p>
        </w:tc>
      </w:tr>
    </w:tbl>
    <w:p w:rsidR="0096147D" w:rsidRPr="00DC36FF" w:rsidRDefault="0096147D" w:rsidP="0096147D">
      <w:pPr>
        <w:pStyle w:val="a3"/>
        <w:ind w:left="360"/>
        <w:jc w:val="center"/>
        <w:rPr>
          <w:b/>
          <w:i/>
          <w:color w:val="000000" w:themeColor="text1"/>
          <w:sz w:val="22"/>
          <w:szCs w:val="22"/>
          <w:u w:val="single"/>
        </w:rPr>
      </w:pPr>
      <w:r w:rsidRPr="00DC36FF">
        <w:rPr>
          <w:b/>
          <w:color w:val="000000" w:themeColor="text1"/>
          <w:sz w:val="22"/>
          <w:szCs w:val="22"/>
          <w:u w:val="single"/>
        </w:rPr>
        <w:t>(</w:t>
      </w:r>
      <w:r w:rsidRPr="00DC36FF">
        <w:rPr>
          <w:b/>
          <w:i/>
          <w:color w:val="000000" w:themeColor="text1"/>
          <w:sz w:val="22"/>
          <w:szCs w:val="22"/>
          <w:u w:val="single"/>
        </w:rPr>
        <w:t>Тариф включает НДС).</w:t>
      </w:r>
    </w:p>
    <w:p w:rsidR="0096147D" w:rsidRPr="00DC36FF" w:rsidRDefault="0096147D" w:rsidP="0096147D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96147D" w:rsidRPr="00DC36FF" w:rsidRDefault="0096147D" w:rsidP="0096147D">
      <w:pPr>
        <w:autoSpaceDE w:val="0"/>
        <w:autoSpaceDN w:val="0"/>
        <w:adjustRightInd w:val="0"/>
        <w:spacing w:line="288" w:lineRule="auto"/>
        <w:jc w:val="both"/>
        <w:rPr>
          <w:b/>
          <w:color w:val="000000"/>
          <w:sz w:val="22"/>
          <w:szCs w:val="22"/>
        </w:rPr>
      </w:pPr>
      <w:r w:rsidRPr="00DC36FF">
        <w:rPr>
          <w:b/>
          <w:bCs/>
          <w:color w:val="000000" w:themeColor="text1"/>
          <w:sz w:val="22"/>
          <w:szCs w:val="22"/>
        </w:rPr>
        <w:t xml:space="preserve">6.2.1. Вознаграждение Брокера за зачисление </w:t>
      </w:r>
      <w:r w:rsidRPr="00DC36FF">
        <w:rPr>
          <w:b/>
          <w:color w:val="000000" w:themeColor="text1"/>
          <w:sz w:val="22"/>
          <w:szCs w:val="22"/>
        </w:rPr>
        <w:t xml:space="preserve">денежных средств, поступивших на Счет Клиента, в случае, если </w:t>
      </w:r>
      <w:r w:rsidRPr="00DC36FF">
        <w:rPr>
          <w:b/>
          <w:color w:val="000000"/>
          <w:sz w:val="22"/>
          <w:szCs w:val="22"/>
        </w:rPr>
        <w:t>денежные средства поступили от любой из следующих иностранных организаций:</w:t>
      </w:r>
    </w:p>
    <w:p w:rsidR="0096147D" w:rsidRPr="00DC36FF" w:rsidRDefault="0096147D" w:rsidP="0096147D">
      <w:pPr>
        <w:pStyle w:val="a5"/>
        <w:numPr>
          <w:ilvl w:val="0"/>
          <w:numId w:val="3"/>
        </w:numPr>
        <w:spacing w:after="0" w:line="288" w:lineRule="auto"/>
        <w:ind w:left="142" w:hanging="142"/>
        <w:contextualSpacing w:val="0"/>
        <w:jc w:val="both"/>
        <w:rPr>
          <w:rFonts w:ascii="Times New Roman" w:hAnsi="Times New Roman"/>
          <w:b/>
          <w:color w:val="000000"/>
        </w:rPr>
      </w:pPr>
      <w:proofErr w:type="spellStart"/>
      <w:r w:rsidRPr="00DC36FF">
        <w:rPr>
          <w:rFonts w:ascii="Times New Roman" w:hAnsi="Times New Roman"/>
          <w:b/>
          <w:lang w:val="en-US"/>
        </w:rPr>
        <w:t>Clearstream</w:t>
      </w:r>
      <w:proofErr w:type="spellEnd"/>
      <w:r w:rsidRPr="00DC36FF">
        <w:rPr>
          <w:rFonts w:ascii="Times New Roman" w:hAnsi="Times New Roman"/>
          <w:b/>
        </w:rPr>
        <w:t xml:space="preserve"> </w:t>
      </w:r>
      <w:r w:rsidRPr="00DC36FF">
        <w:rPr>
          <w:rFonts w:ascii="Times New Roman" w:hAnsi="Times New Roman"/>
          <w:b/>
          <w:lang w:val="en-US"/>
        </w:rPr>
        <w:t>Banking</w:t>
      </w:r>
      <w:r w:rsidRPr="00DC36FF">
        <w:rPr>
          <w:rFonts w:ascii="Times New Roman" w:hAnsi="Times New Roman"/>
          <w:b/>
        </w:rPr>
        <w:t xml:space="preserve"> </w:t>
      </w:r>
      <w:r w:rsidRPr="00DC36FF">
        <w:rPr>
          <w:rFonts w:ascii="Times New Roman" w:hAnsi="Times New Roman"/>
          <w:b/>
          <w:lang w:val="en-US"/>
        </w:rPr>
        <w:t>S</w:t>
      </w:r>
      <w:r w:rsidRPr="00DC36FF">
        <w:rPr>
          <w:rFonts w:ascii="Times New Roman" w:hAnsi="Times New Roman"/>
          <w:b/>
        </w:rPr>
        <w:t>.</w:t>
      </w:r>
      <w:r w:rsidRPr="00DC36FF">
        <w:rPr>
          <w:rFonts w:ascii="Times New Roman" w:hAnsi="Times New Roman"/>
          <w:b/>
          <w:lang w:val="en-US"/>
        </w:rPr>
        <w:t>A</w:t>
      </w:r>
      <w:r w:rsidRPr="00DC36FF">
        <w:rPr>
          <w:rFonts w:ascii="Times New Roman" w:hAnsi="Times New Roman"/>
          <w:b/>
        </w:rPr>
        <w:t>.</w:t>
      </w:r>
      <w:r w:rsidRPr="00DC36FF">
        <w:rPr>
          <w:rFonts w:ascii="Times New Roman" w:hAnsi="Times New Roman"/>
          <w:b/>
          <w:color w:val="000000"/>
        </w:rPr>
        <w:t>, в рамках разрешения на разблокировку активов, выплат в связи с погашением ценных бумаг, ценных бумаг и купонного дохода, в рамках генерального/индивидуального разрешения, выданного Казначейством Великого Герцогства Люксембург;</w:t>
      </w:r>
    </w:p>
    <w:p w:rsidR="0096147D" w:rsidRPr="00DC36FF" w:rsidRDefault="0096147D" w:rsidP="0096147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139" w:hanging="139"/>
        <w:jc w:val="both"/>
        <w:rPr>
          <w:rFonts w:ascii="Times New Roman" w:hAnsi="Times New Roman"/>
          <w:color w:val="000000" w:themeColor="text1"/>
          <w:szCs w:val="20"/>
        </w:rPr>
      </w:pPr>
      <w:proofErr w:type="spellStart"/>
      <w:r w:rsidRPr="00DC36FF">
        <w:rPr>
          <w:rFonts w:ascii="Times New Roman" w:hAnsi="Times New Roman"/>
          <w:b/>
          <w:lang w:val="en-US"/>
        </w:rPr>
        <w:t>Euroclear</w:t>
      </w:r>
      <w:proofErr w:type="spellEnd"/>
      <w:r w:rsidRPr="00DC36FF">
        <w:rPr>
          <w:rFonts w:ascii="Times New Roman" w:hAnsi="Times New Roman"/>
          <w:b/>
        </w:rPr>
        <w:t xml:space="preserve"> </w:t>
      </w:r>
      <w:r w:rsidRPr="00DC36FF">
        <w:rPr>
          <w:rFonts w:ascii="Times New Roman" w:hAnsi="Times New Roman"/>
          <w:b/>
          <w:lang w:val="en-US"/>
        </w:rPr>
        <w:t>Bank</w:t>
      </w:r>
      <w:r w:rsidRPr="00DC36FF">
        <w:rPr>
          <w:rFonts w:ascii="Times New Roman" w:hAnsi="Times New Roman"/>
          <w:b/>
        </w:rPr>
        <w:t xml:space="preserve"> </w:t>
      </w:r>
      <w:r w:rsidRPr="00DC36FF">
        <w:rPr>
          <w:rFonts w:ascii="Times New Roman" w:hAnsi="Times New Roman"/>
          <w:b/>
          <w:lang w:val="en-US"/>
        </w:rPr>
        <w:t>S</w:t>
      </w:r>
      <w:r w:rsidRPr="00DC36FF">
        <w:rPr>
          <w:rFonts w:ascii="Times New Roman" w:hAnsi="Times New Roman"/>
          <w:b/>
        </w:rPr>
        <w:t>.</w:t>
      </w:r>
      <w:r w:rsidRPr="00DC36FF">
        <w:rPr>
          <w:rFonts w:ascii="Times New Roman" w:hAnsi="Times New Roman"/>
          <w:b/>
          <w:lang w:val="en-US"/>
        </w:rPr>
        <w:t>A</w:t>
      </w:r>
      <w:proofErr w:type="gramStart"/>
      <w:r w:rsidRPr="00DC36FF">
        <w:rPr>
          <w:rFonts w:ascii="Times New Roman" w:hAnsi="Times New Roman"/>
          <w:b/>
        </w:rPr>
        <w:t>./</w:t>
      </w:r>
      <w:proofErr w:type="gramEnd"/>
      <w:r w:rsidRPr="00DC36FF">
        <w:rPr>
          <w:rFonts w:ascii="Times New Roman" w:hAnsi="Times New Roman"/>
          <w:b/>
          <w:lang w:val="en-US"/>
        </w:rPr>
        <w:t>N</w:t>
      </w:r>
      <w:r w:rsidRPr="00DC36FF">
        <w:rPr>
          <w:rFonts w:ascii="Times New Roman" w:hAnsi="Times New Roman"/>
          <w:b/>
        </w:rPr>
        <w:t>.</w:t>
      </w:r>
      <w:r w:rsidRPr="00DC36FF">
        <w:rPr>
          <w:rFonts w:ascii="Times New Roman" w:hAnsi="Times New Roman"/>
          <w:b/>
          <w:lang w:val="en-US"/>
        </w:rPr>
        <w:t>V</w:t>
      </w:r>
      <w:r w:rsidRPr="00DC36FF">
        <w:rPr>
          <w:rFonts w:ascii="Times New Roman" w:hAnsi="Times New Roman"/>
          <w:b/>
        </w:rPr>
        <w:t>.</w:t>
      </w:r>
      <w:r w:rsidRPr="00DC36FF">
        <w:rPr>
          <w:rFonts w:ascii="Times New Roman" w:hAnsi="Times New Roman"/>
          <w:b/>
          <w:color w:val="000000"/>
        </w:rPr>
        <w:t xml:space="preserve">, в рамках разрешения на разблокировку активов, выплат в связи с погашением ценных бумаг, ценных бумаг и купонного дохода, выданного Министерством </w:t>
      </w:r>
      <w:r w:rsidRPr="00DC36FF">
        <w:rPr>
          <w:rFonts w:ascii="Times New Roman" w:hAnsi="Times New Roman"/>
          <w:b/>
          <w:color w:val="000000"/>
        </w:rPr>
        <w:lastRenderedPageBreak/>
        <w:t>финансов Королевства Бельгия (</w:t>
      </w:r>
      <w:r w:rsidRPr="00DC36FF">
        <w:rPr>
          <w:rFonts w:ascii="Times New Roman" w:hAnsi="Times New Roman"/>
          <w:b/>
        </w:rPr>
        <w:t>Главным Управлением Казначейства Королевства Бельгия)</w:t>
      </w:r>
      <w:r w:rsidRPr="00DC36FF">
        <w:rPr>
          <w:rFonts w:ascii="Times New Roman" w:hAnsi="Times New Roman"/>
          <w:b/>
          <w:color w:val="000000"/>
        </w:rPr>
        <w:t>.</w:t>
      </w:r>
    </w:p>
    <w:p w:rsidR="0096147D" w:rsidRPr="00DC36FF" w:rsidRDefault="0096147D" w:rsidP="0096147D">
      <w:pPr>
        <w:autoSpaceDE w:val="0"/>
        <w:autoSpaceDN w:val="0"/>
        <w:adjustRightInd w:val="0"/>
        <w:spacing w:line="288" w:lineRule="auto"/>
        <w:jc w:val="both"/>
        <w:rPr>
          <w:b/>
          <w:color w:val="000000" w:themeColor="text1"/>
          <w:sz w:val="6"/>
          <w:szCs w:val="6"/>
        </w:rPr>
      </w:pPr>
    </w:p>
    <w:tbl>
      <w:tblPr>
        <w:tblW w:w="6987" w:type="dxa"/>
        <w:jc w:val="center"/>
        <w:tblLook w:val="0000" w:firstRow="0" w:lastRow="0" w:firstColumn="0" w:lastColumn="0" w:noHBand="0" w:noVBand="0"/>
      </w:tblPr>
      <w:tblGrid>
        <w:gridCol w:w="6987"/>
      </w:tblGrid>
      <w:tr w:rsidR="0096147D" w:rsidRPr="00DC36FF" w:rsidTr="003E6CEA">
        <w:trPr>
          <w:trHeight w:val="606"/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spacing w:line="288" w:lineRule="auto"/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>Комиссионное вознаграждение Брокера</w:t>
            </w:r>
          </w:p>
        </w:tc>
      </w:tr>
      <w:tr w:rsidR="0096147D" w:rsidRPr="00DC36FF" w:rsidTr="003E6CEA">
        <w:trPr>
          <w:trHeight w:val="728"/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spacing w:line="288" w:lineRule="auto"/>
              <w:jc w:val="center"/>
              <w:rPr>
                <w:b/>
                <w:color w:val="000000" w:themeColor="text1"/>
              </w:rPr>
            </w:pPr>
            <w:r w:rsidRPr="00DC36FF">
              <w:rPr>
                <w:b/>
                <w:color w:val="000000" w:themeColor="text1"/>
                <w:sz w:val="22"/>
                <w:szCs w:val="22"/>
              </w:rPr>
              <w:t>5% (Пять процентов) от суммы денежных средств</w:t>
            </w:r>
          </w:p>
        </w:tc>
      </w:tr>
    </w:tbl>
    <w:p w:rsidR="0096147D" w:rsidRPr="00DC36FF" w:rsidRDefault="0096147D" w:rsidP="0096147D">
      <w:pPr>
        <w:pStyle w:val="a3"/>
        <w:spacing w:line="288" w:lineRule="auto"/>
        <w:ind w:left="360"/>
        <w:jc w:val="center"/>
        <w:rPr>
          <w:b/>
          <w:i/>
          <w:color w:val="000000" w:themeColor="text1"/>
          <w:sz w:val="22"/>
          <w:szCs w:val="22"/>
          <w:u w:val="single"/>
        </w:rPr>
      </w:pPr>
      <w:r w:rsidRPr="00DC36FF">
        <w:rPr>
          <w:b/>
          <w:color w:val="000000" w:themeColor="text1"/>
          <w:sz w:val="22"/>
          <w:szCs w:val="22"/>
          <w:u w:val="single"/>
        </w:rPr>
        <w:t>(</w:t>
      </w:r>
      <w:r w:rsidRPr="00DC36FF">
        <w:rPr>
          <w:b/>
          <w:i/>
          <w:color w:val="000000" w:themeColor="text1"/>
          <w:sz w:val="22"/>
          <w:szCs w:val="22"/>
          <w:u w:val="single"/>
        </w:rPr>
        <w:t>Тариф включает НДС)</w:t>
      </w:r>
    </w:p>
    <w:p w:rsidR="0096147D" w:rsidRPr="00DC36FF" w:rsidRDefault="0096147D" w:rsidP="0096147D">
      <w:pPr>
        <w:jc w:val="both"/>
        <w:rPr>
          <w:color w:val="000000" w:themeColor="text1"/>
          <w:sz w:val="22"/>
          <w:szCs w:val="22"/>
        </w:rPr>
      </w:pPr>
      <w:r w:rsidRPr="00DC36FF">
        <w:rPr>
          <w:color w:val="000000" w:themeColor="text1"/>
          <w:sz w:val="22"/>
          <w:szCs w:val="22"/>
        </w:rPr>
        <w:t>6.3. Вознаграждение Брокера взимается в рублях по курсу Банка России, установленному на дату заключения сделки.</w:t>
      </w:r>
    </w:p>
    <w:p w:rsidR="0096147D" w:rsidRPr="00DC36FF" w:rsidRDefault="0096147D" w:rsidP="0096147D">
      <w:pPr>
        <w:jc w:val="both"/>
        <w:rPr>
          <w:color w:val="000000" w:themeColor="text1"/>
          <w:sz w:val="20"/>
          <w:szCs w:val="20"/>
        </w:rPr>
      </w:pPr>
    </w:p>
    <w:tbl>
      <w:tblPr>
        <w:tblW w:w="9138" w:type="dxa"/>
        <w:jc w:val="center"/>
        <w:tblLook w:val="0000" w:firstRow="0" w:lastRow="0" w:firstColumn="0" w:lastColumn="0" w:noHBand="0" w:noVBand="0"/>
      </w:tblPr>
      <w:tblGrid>
        <w:gridCol w:w="4470"/>
        <w:gridCol w:w="4668"/>
      </w:tblGrid>
      <w:tr w:rsidR="0096147D" w:rsidRPr="00DC36FF" w:rsidTr="003E6CEA">
        <w:trPr>
          <w:trHeight w:val="40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Покупка или продажа ценных бумаг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0,168%, но не менее 1000 руб.</w:t>
            </w:r>
          </w:p>
        </w:tc>
      </w:tr>
    </w:tbl>
    <w:p w:rsidR="0096147D" w:rsidRPr="00DC36FF" w:rsidRDefault="0096147D" w:rsidP="0096147D">
      <w:pPr>
        <w:ind w:left="360"/>
        <w:jc w:val="both"/>
        <w:rPr>
          <w:color w:val="000000" w:themeColor="text1"/>
          <w:sz w:val="20"/>
          <w:szCs w:val="20"/>
        </w:rPr>
      </w:pPr>
    </w:p>
    <w:p w:rsidR="0096147D" w:rsidRPr="00DC36FF" w:rsidRDefault="0096147D" w:rsidP="0096147D">
      <w:pPr>
        <w:autoSpaceDE w:val="0"/>
        <w:autoSpaceDN w:val="0"/>
        <w:adjustRightInd w:val="0"/>
        <w:rPr>
          <w:b/>
          <w:color w:val="000000" w:themeColor="text1"/>
          <w:sz w:val="22"/>
          <w:szCs w:val="22"/>
        </w:rPr>
      </w:pPr>
      <w:r w:rsidRPr="00DC36FF">
        <w:rPr>
          <w:b/>
          <w:color w:val="000000" w:themeColor="text1"/>
          <w:sz w:val="22"/>
          <w:szCs w:val="22"/>
        </w:rPr>
        <w:t>7. Неторговые операции:</w:t>
      </w:r>
    </w:p>
    <w:p w:rsidR="0096147D" w:rsidRPr="00DC36FF" w:rsidRDefault="0096147D" w:rsidP="0096147D">
      <w:pPr>
        <w:jc w:val="both"/>
        <w:rPr>
          <w:color w:val="000000" w:themeColor="text1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268"/>
      </w:tblGrid>
      <w:tr w:rsidR="0096147D" w:rsidRPr="00DC36FF" w:rsidTr="003E6CEA">
        <w:trPr>
          <w:cantSplit/>
          <w:trHeight w:val="579"/>
        </w:trPr>
        <w:tc>
          <w:tcPr>
            <w:tcW w:w="7371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DC36FF">
              <w:rPr>
                <w:b/>
                <w:color w:val="000000" w:themeColor="text1"/>
                <w:sz w:val="20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DC36FF">
              <w:rPr>
                <w:b/>
                <w:color w:val="000000" w:themeColor="text1"/>
                <w:sz w:val="20"/>
              </w:rPr>
              <w:t>Вознаграждение Брокера, руб.</w:t>
            </w:r>
          </w:p>
        </w:tc>
      </w:tr>
      <w:tr w:rsidR="0096147D" w:rsidRPr="00DC36FF" w:rsidTr="003E6CEA">
        <w:trPr>
          <w:cantSplit/>
          <w:trHeight w:val="240"/>
        </w:trPr>
        <w:tc>
          <w:tcPr>
            <w:tcW w:w="7371" w:type="dxa"/>
            <w:vAlign w:val="center"/>
          </w:tcPr>
          <w:p w:rsidR="0096147D" w:rsidRPr="00DC36FF" w:rsidRDefault="0096147D" w:rsidP="003E6C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Ведение учета денежных сре</w:t>
            </w:r>
            <w:proofErr w:type="gramStart"/>
            <w:r w:rsidRPr="00DC36FF">
              <w:rPr>
                <w:color w:val="000000" w:themeColor="text1"/>
                <w:sz w:val="20"/>
                <w:szCs w:val="20"/>
              </w:rPr>
              <w:t>дств Кл</w:t>
            </w:r>
            <w:proofErr w:type="gramEnd"/>
            <w:r w:rsidRPr="00DC36FF">
              <w:rPr>
                <w:color w:val="000000" w:themeColor="text1"/>
                <w:sz w:val="20"/>
                <w:szCs w:val="20"/>
              </w:rPr>
              <w:t>иента на отдельном Специальном брокерском счете</w:t>
            </w:r>
          </w:p>
        </w:tc>
        <w:tc>
          <w:tcPr>
            <w:tcW w:w="2268" w:type="dxa"/>
            <w:vAlign w:val="center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3000 руб. в месяц (независимо от наличия операций по счету)</w:t>
            </w:r>
          </w:p>
        </w:tc>
      </w:tr>
      <w:tr w:rsidR="0096147D" w:rsidRPr="00DC36FF" w:rsidTr="003E6CEA">
        <w:trPr>
          <w:cantSplit/>
          <w:trHeight w:val="240"/>
        </w:trPr>
        <w:tc>
          <w:tcPr>
            <w:tcW w:w="7371" w:type="dxa"/>
            <w:vAlign w:val="center"/>
          </w:tcPr>
          <w:p w:rsidR="0096147D" w:rsidRPr="00DC36FF" w:rsidRDefault="0096147D" w:rsidP="003E6C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Подготовка документов по запросу НКО АО НРД при исполнении поручения клиента на отзыв денежных средств</w:t>
            </w:r>
          </w:p>
        </w:tc>
        <w:tc>
          <w:tcPr>
            <w:tcW w:w="2268" w:type="dxa"/>
            <w:vAlign w:val="center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600,00 руб. за поручение</w:t>
            </w:r>
          </w:p>
        </w:tc>
      </w:tr>
      <w:tr w:rsidR="0096147D" w:rsidRPr="00DC36FF" w:rsidTr="003E6CEA">
        <w:trPr>
          <w:cantSplit/>
          <w:trHeight w:val="240"/>
        </w:trPr>
        <w:tc>
          <w:tcPr>
            <w:tcW w:w="7371" w:type="dxa"/>
            <w:vAlign w:val="center"/>
          </w:tcPr>
          <w:p w:rsidR="0096147D" w:rsidRPr="00DC36FF" w:rsidRDefault="0096147D" w:rsidP="003E6CE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DC36FF">
              <w:rPr>
                <w:color w:val="000000" w:themeColor="text1"/>
                <w:sz w:val="20"/>
                <w:szCs w:val="20"/>
              </w:rPr>
              <w:t>Заверение копий</w:t>
            </w:r>
            <w:proofErr w:type="gramEnd"/>
            <w:r w:rsidRPr="00DC36FF">
              <w:rPr>
                <w:color w:val="000000" w:themeColor="text1"/>
                <w:sz w:val="20"/>
                <w:szCs w:val="20"/>
              </w:rPr>
              <w:t xml:space="preserve"> с оригиналов документов, предоставляемых Клиентом</w:t>
            </w:r>
          </w:p>
        </w:tc>
        <w:tc>
          <w:tcPr>
            <w:tcW w:w="2268" w:type="dxa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30,00 за одну страницу (</w:t>
            </w:r>
            <w:r w:rsidRPr="00DC36FF">
              <w:rPr>
                <w:i/>
                <w:color w:val="000000" w:themeColor="text1"/>
                <w:sz w:val="20"/>
                <w:szCs w:val="20"/>
              </w:rPr>
              <w:t>Тариф включает НДС)</w:t>
            </w:r>
          </w:p>
        </w:tc>
      </w:tr>
      <w:tr w:rsidR="0096147D" w:rsidRPr="00DC36FF" w:rsidTr="003E6CEA">
        <w:trPr>
          <w:cantSplit/>
          <w:trHeight w:val="240"/>
        </w:trPr>
        <w:tc>
          <w:tcPr>
            <w:tcW w:w="7371" w:type="dxa"/>
            <w:vAlign w:val="center"/>
          </w:tcPr>
          <w:p w:rsidR="0096147D" w:rsidRPr="00DC36FF" w:rsidRDefault="0096147D" w:rsidP="003E6CE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DC36FF">
              <w:rPr>
                <w:color w:val="000000" w:themeColor="text1"/>
                <w:sz w:val="20"/>
                <w:szCs w:val="20"/>
              </w:rPr>
              <w:t>Заверение  копии</w:t>
            </w:r>
            <w:proofErr w:type="gramEnd"/>
            <w:r w:rsidRPr="00DC36FF">
              <w:rPr>
                <w:color w:val="000000" w:themeColor="text1"/>
                <w:sz w:val="20"/>
                <w:szCs w:val="20"/>
              </w:rPr>
              <w:t xml:space="preserve">  Устава  с  оригинала,  предоставляемого Клиентом и карточки образцов  подписей (за одну подпись)</w:t>
            </w:r>
          </w:p>
        </w:tc>
        <w:tc>
          <w:tcPr>
            <w:tcW w:w="2268" w:type="dxa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 xml:space="preserve">400,00 </w:t>
            </w:r>
          </w:p>
          <w:p w:rsidR="0096147D" w:rsidRPr="00DC36FF" w:rsidRDefault="0096147D" w:rsidP="003E6CE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C36FF">
              <w:rPr>
                <w:i/>
                <w:color w:val="000000" w:themeColor="text1"/>
                <w:sz w:val="20"/>
                <w:szCs w:val="20"/>
              </w:rPr>
              <w:t>(Тариф включает НДС)</w:t>
            </w:r>
          </w:p>
        </w:tc>
      </w:tr>
    </w:tbl>
    <w:p w:rsidR="0096147D" w:rsidRPr="00DC36FF" w:rsidRDefault="0096147D" w:rsidP="0096147D">
      <w:pPr>
        <w:pStyle w:val="a3"/>
        <w:tabs>
          <w:tab w:val="clear" w:pos="4153"/>
          <w:tab w:val="clear" w:pos="8306"/>
        </w:tabs>
        <w:ind w:left="360"/>
        <w:jc w:val="both"/>
        <w:rPr>
          <w:b/>
          <w:i/>
          <w:color w:val="000000" w:themeColor="text1"/>
          <w:u w:val="single"/>
        </w:rPr>
      </w:pPr>
    </w:p>
    <w:p w:rsidR="0096147D" w:rsidRPr="00DC36FF" w:rsidRDefault="0096147D" w:rsidP="0096147D">
      <w:pPr>
        <w:rPr>
          <w:color w:val="000000" w:themeColor="text1"/>
        </w:rPr>
      </w:pPr>
    </w:p>
    <w:p w:rsidR="0096147D" w:rsidRPr="00DC36FF" w:rsidRDefault="0096147D" w:rsidP="0096147D">
      <w:pPr>
        <w:pStyle w:val="a3"/>
        <w:tabs>
          <w:tab w:val="clear" w:pos="4153"/>
          <w:tab w:val="clear" w:pos="8306"/>
        </w:tabs>
        <w:ind w:left="360"/>
        <w:jc w:val="both"/>
        <w:rPr>
          <w:i/>
          <w:color w:val="000000" w:themeColor="text1"/>
          <w:sz w:val="18"/>
          <w:szCs w:val="18"/>
        </w:rPr>
      </w:pPr>
    </w:p>
    <w:p w:rsidR="0096147D" w:rsidRPr="00DC36FF" w:rsidRDefault="0096147D" w:rsidP="0096147D">
      <w:pPr>
        <w:jc w:val="center"/>
        <w:rPr>
          <w:b/>
          <w:color w:val="000000" w:themeColor="text1"/>
        </w:rPr>
      </w:pPr>
    </w:p>
    <w:p w:rsidR="0096147D" w:rsidRPr="00DC36FF" w:rsidRDefault="0096147D" w:rsidP="0096147D">
      <w:pPr>
        <w:rPr>
          <w:b/>
          <w:color w:val="000000" w:themeColor="text1"/>
        </w:rPr>
      </w:pPr>
    </w:p>
    <w:p w:rsidR="00DE3DB8" w:rsidRDefault="00DE3DB8">
      <w:bookmarkStart w:id="0" w:name="_GoBack"/>
      <w:bookmarkEnd w:id="0"/>
    </w:p>
    <w:sectPr w:rsidR="00DE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56CA"/>
    <w:multiLevelType w:val="multilevel"/>
    <w:tmpl w:val="EF845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D4B2B8C"/>
    <w:multiLevelType w:val="hybridMultilevel"/>
    <w:tmpl w:val="CBAABF22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57F51FDE"/>
    <w:multiLevelType w:val="multilevel"/>
    <w:tmpl w:val="46D83E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7D"/>
    <w:rsid w:val="0096147D"/>
    <w:rsid w:val="00D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147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9614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">
    <w:name w:val="xl45"/>
    <w:basedOn w:val="a"/>
    <w:rsid w:val="0096147D"/>
    <w:pPr>
      <w:spacing w:before="100" w:beforeAutospacing="1" w:after="100" w:afterAutospacing="1"/>
      <w:textAlignment w:val="center"/>
    </w:pPr>
    <w:rPr>
      <w:rFonts w:ascii="Arial Unicode MS" w:eastAsia="Arial Unicode MS" w:hAnsi="Arial Unicode MS"/>
      <w:b/>
      <w:bCs/>
      <w:lang w:val="en-US"/>
    </w:rPr>
  </w:style>
  <w:style w:type="paragraph" w:customStyle="1" w:styleId="Myusual">
    <w:name w:val="My usual"/>
    <w:basedOn w:val="a"/>
    <w:rsid w:val="0096147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  <w:lang w:eastAsia="en-US"/>
    </w:rPr>
  </w:style>
  <w:style w:type="paragraph" w:styleId="a5">
    <w:name w:val="List Paragraph"/>
    <w:basedOn w:val="a"/>
    <w:uiPriority w:val="1"/>
    <w:qFormat/>
    <w:rsid w:val="009614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147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9614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">
    <w:name w:val="xl45"/>
    <w:basedOn w:val="a"/>
    <w:rsid w:val="0096147D"/>
    <w:pPr>
      <w:spacing w:before="100" w:beforeAutospacing="1" w:after="100" w:afterAutospacing="1"/>
      <w:textAlignment w:val="center"/>
    </w:pPr>
    <w:rPr>
      <w:rFonts w:ascii="Arial Unicode MS" w:eastAsia="Arial Unicode MS" w:hAnsi="Arial Unicode MS"/>
      <w:b/>
      <w:bCs/>
      <w:lang w:val="en-US"/>
    </w:rPr>
  </w:style>
  <w:style w:type="paragraph" w:customStyle="1" w:styleId="Myusual">
    <w:name w:val="My usual"/>
    <w:basedOn w:val="a"/>
    <w:rsid w:val="0096147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  <w:lang w:eastAsia="en-US"/>
    </w:rPr>
  </w:style>
  <w:style w:type="paragraph" w:styleId="a5">
    <w:name w:val="List Paragraph"/>
    <w:basedOn w:val="a"/>
    <w:uiPriority w:val="1"/>
    <w:qFormat/>
    <w:rsid w:val="009614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 Екатерина Григорьевна</dc:creator>
  <cp:lastModifiedBy>Куприна Екатерина Григорьевна</cp:lastModifiedBy>
  <cp:revision>1</cp:revision>
  <dcterms:created xsi:type="dcterms:W3CDTF">2024-09-11T14:01:00Z</dcterms:created>
  <dcterms:modified xsi:type="dcterms:W3CDTF">2024-09-11T14:01:00Z</dcterms:modified>
</cp:coreProperties>
</file>