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E2E7D" w14:textId="116D5A51" w:rsidR="00407AE9" w:rsidRPr="00FC5D29" w:rsidRDefault="00407AE9" w:rsidP="00FC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bookmarkStart w:id="0" w:name="_GoBack"/>
      <w:bookmarkEnd w:id="0"/>
      <w:r w:rsidRPr="00FC5D29">
        <w:rPr>
          <w:rFonts w:ascii="Times New Roman" w:hAnsi="Times New Roman" w:cs="Times New Roman"/>
          <w:b/>
          <w:sz w:val="28"/>
          <w:szCs w:val="23"/>
        </w:rPr>
        <w:t>Физическому лицу</w:t>
      </w:r>
      <w:r w:rsidR="00E74675" w:rsidRPr="00FC5D29">
        <w:rPr>
          <w:rFonts w:ascii="Times New Roman" w:hAnsi="Times New Roman" w:cs="Times New Roman"/>
          <w:b/>
          <w:sz w:val="28"/>
          <w:szCs w:val="23"/>
        </w:rPr>
        <w:t xml:space="preserve"> </w:t>
      </w:r>
      <w:r w:rsidRPr="00FC5D29">
        <w:rPr>
          <w:rFonts w:ascii="Times New Roman" w:hAnsi="Times New Roman" w:cs="Times New Roman"/>
          <w:b/>
          <w:sz w:val="28"/>
          <w:szCs w:val="23"/>
        </w:rPr>
        <w:t>- получателю финансовых услуг</w:t>
      </w:r>
    </w:p>
    <w:p w14:paraId="30D630A5" w14:textId="77777777" w:rsidR="0012635F" w:rsidRPr="00FC5D29" w:rsidRDefault="0012635F" w:rsidP="0012635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8642A47" w14:textId="1E1F225D" w:rsidR="00711EA4" w:rsidRPr="00FC5D29" w:rsidRDefault="00A34A95" w:rsidP="00126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FC5D29">
        <w:rPr>
          <w:rFonts w:ascii="Times New Roman" w:hAnsi="Times New Roman" w:cs="Times New Roman"/>
          <w:b/>
          <w:sz w:val="24"/>
          <w:szCs w:val="23"/>
        </w:rPr>
        <w:t>Информация о Договоре об оказании брокерских услуг</w:t>
      </w:r>
    </w:p>
    <w:p w14:paraId="35B6CC25" w14:textId="77777777" w:rsidR="00A34A95" w:rsidRPr="00FC5D29" w:rsidRDefault="00711EA4" w:rsidP="00126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FC5D29">
        <w:rPr>
          <w:rFonts w:ascii="Times New Roman" w:hAnsi="Times New Roman" w:cs="Times New Roman"/>
          <w:b/>
          <w:sz w:val="24"/>
          <w:szCs w:val="23"/>
        </w:rPr>
        <w:t>и Договоре на ведение индивидуального инвестиционного счета</w:t>
      </w:r>
    </w:p>
    <w:p w14:paraId="019E708E" w14:textId="77777777" w:rsidR="00A34A95" w:rsidRPr="00FC5D29" w:rsidRDefault="00A34A95" w:rsidP="001263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Настоящая Информация о Договоре об оказании брокерских услуг</w:t>
      </w:r>
      <w:r w:rsidR="00A31AE5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Договоре на ведение индивидуального инвестиционного счета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(далее – «Информация») предоставляется Вам для ознакомления в связи с Вашим желанием осуществлять сделки и операции на рынке ценных бумаг, срочном рынке, валютном рынке и рынке драгоценных металлов.</w:t>
      </w:r>
    </w:p>
    <w:p w14:paraId="3650AF69" w14:textId="434D7286" w:rsidR="00A34A95" w:rsidRDefault="001647A4" w:rsidP="00650158">
      <w:pPr>
        <w:spacing w:before="120" w:after="0" w:line="240" w:lineRule="auto"/>
        <w:ind w:firstLine="709"/>
        <w:jc w:val="both"/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Полный текст </w:t>
      </w:r>
      <w:r w:rsidR="00EF2774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Договоров 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Регламента </w:t>
      </w:r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>ООО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</w:t>
      </w:r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>АВИ Кэпитал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«О порядке осуществления деятельности на рынке ценных бумаг, срочном и валютном рынках» </w:t>
      </w:r>
      <w:r w:rsidR="00EF2774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(далее – Регламент) 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размещены на официальном сайте </w:t>
      </w:r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>ООО</w:t>
      </w:r>
      <w:r w:rsidR="00650158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</w:t>
      </w:r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>АВИ Кэпитал</w:t>
      </w:r>
      <w:r w:rsidR="00650158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</w:t>
      </w:r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 адресу: </w:t>
      </w:r>
      <w:hyperlink r:id="rId7" w:history="1">
        <w:r w:rsidR="00650158" w:rsidRPr="00E84060">
          <w:rPr>
            <w:rStyle w:val="a7"/>
            <w:rFonts w:ascii="Times New Roman" w:hAnsi="Times New Roman" w:cs="Times New Roman"/>
            <w:sz w:val="23"/>
            <w:szCs w:val="23"/>
          </w:rPr>
          <w:t>https://avi.capital/</w:t>
        </w:r>
      </w:hyperlink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.</w:t>
      </w:r>
    </w:p>
    <w:p w14:paraId="50660EFC" w14:textId="49C61571" w:rsidR="004F6B25" w:rsidRPr="00FC5D29" w:rsidRDefault="001647A4" w:rsidP="001263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Ниже перечислены основные сведения о Договоре об оказании брокерских услуг </w:t>
      </w:r>
      <w:r w:rsidR="00A31AE5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407AE9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/или</w:t>
      </w:r>
      <w:r w:rsidR="00A31AE5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Договоре на ведение индивидуального инвестиционного счета 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(далее – «Договор»), заключенным между Вами и </w:t>
      </w:r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>ООО</w:t>
      </w:r>
      <w:r w:rsidR="00650158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</w:t>
      </w:r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>АВИ Кэпитал»</w:t>
      </w:r>
      <w:r w:rsidR="00D6663D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(далее – «Брокер»)</w:t>
      </w:r>
      <w:r w:rsidR="004F6B25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7659B58E" w14:textId="77777777" w:rsidR="00FC3612" w:rsidRPr="00FC5D29" w:rsidRDefault="004F6B25" w:rsidP="0012635F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Предмет Договора</w:t>
      </w:r>
    </w:p>
    <w:p w14:paraId="3F897B82" w14:textId="405FC498" w:rsidR="00246F16" w:rsidRPr="00FC5D29" w:rsidRDefault="00246F16" w:rsidP="001263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Заключение </w:t>
      </w:r>
      <w:r w:rsidR="004F6B25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от имени и за счет Клиента или от имени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Брокера</w:t>
      </w:r>
      <w:r w:rsidR="004F6B25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за счет Клиента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сделок</w:t>
      </w:r>
      <w:r w:rsidR="004F6B25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ценными бумагами, производными финансовыми инструментами (срочные сделки), иностранной валютой и драгоценными металлами, а также иные юридические и фактические действия, связанные с такими сделками</w:t>
      </w:r>
      <w:r w:rsidR="000460FE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(или) оговоренные в Договоре.</w:t>
      </w:r>
    </w:p>
    <w:p w14:paraId="18540A4A" w14:textId="77777777" w:rsidR="00FC3612" w:rsidRPr="00FC5D29" w:rsidRDefault="00D6663D" w:rsidP="0012635F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Порядок и сроки расторжения Договора</w:t>
      </w:r>
    </w:p>
    <w:p w14:paraId="6B1B671C" w14:textId="77777777" w:rsidR="00D6663D" w:rsidRPr="00FC5D29" w:rsidRDefault="00D6663D" w:rsidP="00100F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Договор может быть расторгнуть в любое время следующими способами:</w:t>
      </w:r>
    </w:p>
    <w:p w14:paraId="154FA026" w14:textId="77777777" w:rsidR="00D6663D" w:rsidRPr="00FC5D29" w:rsidRDefault="00D6663D" w:rsidP="00100FE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По соглашению Брокера и Клиента.</w:t>
      </w:r>
    </w:p>
    <w:p w14:paraId="2ABF98C3" w14:textId="0860DBD3" w:rsidR="00D6663D" w:rsidRPr="00FC5D29" w:rsidRDefault="00D6663D" w:rsidP="0012635F">
      <w:pPr>
        <w:pStyle w:val="a8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Путем одностороннего уведомления одной из Сторон </w:t>
      </w:r>
      <w:r w:rsidR="0082095B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за 30 </w:t>
      </w:r>
      <w:r w:rsidR="00100FE4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(Тридцать) 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календарных дней до даты расторжения Договора.</w:t>
      </w:r>
    </w:p>
    <w:p w14:paraId="23D5E5FB" w14:textId="01EE0059" w:rsidR="00D6663D" w:rsidRPr="00650158" w:rsidRDefault="00D6663D" w:rsidP="00650158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50158">
        <w:rPr>
          <w:rFonts w:ascii="Times New Roman" w:hAnsi="Times New Roman" w:cs="Times New Roman"/>
          <w:color w:val="000000" w:themeColor="text1"/>
          <w:sz w:val="23"/>
          <w:szCs w:val="23"/>
        </w:rPr>
        <w:t>Подробно порядок и сроки расторжения Договора описаны в ст. 22 Регламента.</w:t>
      </w:r>
    </w:p>
    <w:p w14:paraId="5FE48AB9" w14:textId="6ACE680C" w:rsidR="00FC3612" w:rsidRPr="00FC5D29" w:rsidRDefault="00875EC5" w:rsidP="0012635F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Порядок урегулирования споров</w:t>
      </w:r>
    </w:p>
    <w:p w14:paraId="5DAAD26B" w14:textId="77777777" w:rsidR="00246F16" w:rsidRPr="00FC5D29" w:rsidRDefault="00875EC5" w:rsidP="001263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Все споры, возникающие из Договора или связанные с исполнением обязательств по Договору, Брокер и Клиент разрешают путем направления друг другу претензий. Порядок рассмотрения претензий указан в </w:t>
      </w:r>
      <w:r w:rsidR="00E87872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ст. 20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Регламента.</w:t>
      </w:r>
    </w:p>
    <w:p w14:paraId="7D572C55" w14:textId="4062A730" w:rsidR="004815CE" w:rsidRPr="00FC5D29" w:rsidRDefault="004815CE" w:rsidP="0065015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Клиент вправе направить Брокеру жалоб</w:t>
      </w:r>
      <w:r w:rsidR="00407AE9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</w:t>
      </w:r>
      <w:r w:rsidR="00407AE9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ли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A46FF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запрос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. Порядок их рассмотрения указан в ст. 27 Регламента.</w:t>
      </w:r>
    </w:p>
    <w:p w14:paraId="4EB96B79" w14:textId="3DFBD88C" w:rsidR="00650158" w:rsidRPr="00EB1633" w:rsidRDefault="00A31AE5" w:rsidP="00EB163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Претензии, жалобы и </w:t>
      </w:r>
      <w:r w:rsidR="009A46FF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запросы 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могут быть направлены </w:t>
      </w:r>
      <w:r w:rsidR="00EB163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 почте, </w:t>
      </w:r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EB1633">
        <w:rPr>
          <w:rFonts w:ascii="Times New Roman" w:hAnsi="Times New Roman" w:cs="Times New Roman"/>
          <w:color w:val="000000" w:themeColor="text1"/>
          <w:sz w:val="23"/>
          <w:szCs w:val="23"/>
        </w:rPr>
        <w:t>ли предоставлены</w:t>
      </w:r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50158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в офис Брокера</w:t>
      </w:r>
      <w:r w:rsidR="00EB1633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650158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 следующему адресу - </w:t>
      </w:r>
      <w:r w:rsidR="00650158" w:rsidRPr="00650158">
        <w:rPr>
          <w:rFonts w:ascii="Times New Roman" w:hAnsi="Times New Roman" w:cs="Times New Roman"/>
          <w:color w:val="000000" w:themeColor="text1"/>
          <w:sz w:val="23"/>
          <w:szCs w:val="23"/>
        </w:rPr>
        <w:t>123112, г. Москва, Пресненская набережная, дом 8, строение 1, помещение 7Н/4</w:t>
      </w:r>
      <w:r w:rsidR="00650158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3496DEFB" w14:textId="77777777" w:rsidR="00EB1633" w:rsidRPr="00EB1633" w:rsidRDefault="00EB1633" w:rsidP="001263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1A240DB5" w14:textId="281479F1" w:rsidR="00057372" w:rsidRPr="00FC5D29" w:rsidRDefault="00187102" w:rsidP="001263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Сведения об операциях (сделках, договорах), </w:t>
      </w:r>
    </w:p>
    <w:p w14:paraId="62575647" w14:textId="77777777" w:rsidR="00057372" w:rsidRPr="00FC5D29" w:rsidRDefault="00187102" w:rsidP="001263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которые Брокер вправе</w:t>
      </w:r>
      <w:r w:rsidR="00057372"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 </w:t>
      </w: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совершать (заключать) по поручению </w:t>
      </w:r>
      <w:r w:rsidR="00EF2774"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Клиента </w:t>
      </w: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и за его счет </w:t>
      </w:r>
    </w:p>
    <w:p w14:paraId="5AFAE4A0" w14:textId="165B45AD" w:rsidR="00654F45" w:rsidRDefault="00187102" w:rsidP="001263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на бирже, внебиржевом рынке, срочном рынке, валютном рынке</w:t>
      </w:r>
    </w:p>
    <w:p w14:paraId="468CC8ED" w14:textId="77777777" w:rsidR="00650158" w:rsidRPr="00EB1633" w:rsidRDefault="00650158" w:rsidP="001263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6621B60C" w14:textId="6D739601" w:rsidR="00062F2B" w:rsidRPr="00FC5D29" w:rsidRDefault="000460FE" w:rsidP="00AB4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Брокер вправе совершать сделки, предусмотренные правилами ПАО Московская Биржа, ПАО «СПБ Биржа», АО «Казахстанская фондовая биржа», Биржи Международного Финансового Центра Астана, в том числе, но не ограничиваясь:</w:t>
      </w:r>
    </w:p>
    <w:p w14:paraId="3651E817" w14:textId="77777777" w:rsidR="000460FE" w:rsidRPr="00FC5D29" w:rsidRDefault="000460FE" w:rsidP="00AB4009">
      <w:pPr>
        <w:pStyle w:val="a8"/>
        <w:numPr>
          <w:ilvl w:val="0"/>
          <w:numId w:val="4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Купля-продажа ценных бумаг, иностранной валюты</w:t>
      </w:r>
      <w:r w:rsidR="00654F45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14:paraId="7F418C40" w14:textId="0377B942" w:rsidR="000460FE" w:rsidRPr="00FC5D29" w:rsidRDefault="000460FE" w:rsidP="0012635F">
      <w:pPr>
        <w:pStyle w:val="a8"/>
        <w:numPr>
          <w:ilvl w:val="0"/>
          <w:numId w:val="4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Сделки </w:t>
      </w:r>
      <w:r w:rsidR="0026678D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РЕПО 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с ценными бумагами</w:t>
      </w:r>
      <w:r w:rsidR="00654F45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14:paraId="10AE618C" w14:textId="77777777" w:rsidR="0026678D" w:rsidRPr="00FC5D29" w:rsidRDefault="0026678D" w:rsidP="0012635F">
      <w:pPr>
        <w:pStyle w:val="a8"/>
        <w:numPr>
          <w:ilvl w:val="0"/>
          <w:numId w:val="4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Сделки СВОП с иностранной валютой;</w:t>
      </w:r>
    </w:p>
    <w:p w14:paraId="0CE0F9BA" w14:textId="77777777" w:rsidR="008A74F2" w:rsidRPr="00FC5D29" w:rsidRDefault="00245DA9" w:rsidP="0012635F">
      <w:pPr>
        <w:pStyle w:val="a8"/>
        <w:numPr>
          <w:ilvl w:val="0"/>
          <w:numId w:val="4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Сделки с производными финансовыми инструментами</w:t>
      </w:r>
      <w:r w:rsidR="00654F45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14:paraId="2DD8FB16" w14:textId="77777777" w:rsidR="00245DA9" w:rsidRPr="00FC5D29" w:rsidRDefault="008A74F2" w:rsidP="0012635F">
      <w:pPr>
        <w:pStyle w:val="a8"/>
        <w:numPr>
          <w:ilvl w:val="0"/>
          <w:numId w:val="4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Сделки с инструментами рынка драгоценных металлов</w:t>
      </w:r>
      <w:r w:rsidR="00654F45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78253C67" w14:textId="77777777" w:rsidR="00187102" w:rsidRPr="00FC5D29" w:rsidRDefault="008D6877" w:rsidP="001263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Обращаем внимание, что конкретный перечень возможных сделок зависит от правил биржи, на которой заключается сделка.</w:t>
      </w:r>
    </w:p>
    <w:p w14:paraId="2D3A7B86" w14:textId="77777777" w:rsidR="00057372" w:rsidRPr="00FC5D29" w:rsidRDefault="004A0617" w:rsidP="001263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Сведения о сделках (договорах), поручения в отношении которых</w:t>
      </w:r>
      <w:r w:rsidR="00057372"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 </w:t>
      </w:r>
      <w:r w:rsidR="002D6175"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исполняются Б</w:t>
      </w: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рокером </w:t>
      </w:r>
    </w:p>
    <w:p w14:paraId="72517390" w14:textId="77777777" w:rsidR="00057372" w:rsidRPr="00FC5D29" w:rsidRDefault="004A0617" w:rsidP="001263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только при наличии положительного результата тестирования</w:t>
      </w:r>
      <w:r w:rsidR="002D6175"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 </w:t>
      </w: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клиента - физического лица, </w:t>
      </w:r>
    </w:p>
    <w:p w14:paraId="410590C2" w14:textId="5509C182" w:rsidR="004A0617" w:rsidRPr="00FC5D29" w:rsidRDefault="004A0617" w:rsidP="001263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н</w:t>
      </w:r>
      <w:r w:rsidR="00654F45"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е являющегося квалифицированным </w:t>
      </w: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инвестором</w:t>
      </w:r>
    </w:p>
    <w:p w14:paraId="009AD187" w14:textId="77777777" w:rsidR="00EF2774" w:rsidRPr="00FC5D29" w:rsidRDefault="00EF2774" w:rsidP="001263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Перечень сделок, которые могут быть исполнены Брокером только при наличии у Клиента положительного результата тестирования клиента - физического лица, не являющегося квалифицированным инвестором, указан в п. 37.1 Регламента.</w:t>
      </w:r>
    </w:p>
    <w:p w14:paraId="76122CB1" w14:textId="4E64DB72" w:rsidR="00EF2774" w:rsidRPr="00FC5D29" w:rsidRDefault="00EF2774" w:rsidP="001263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Особенности совершения сделок, которые могут быть исполнены Брокером только при наличии у Клиента положительного результата тестирования клиента - физического лица, не являющегося квалифицированным инвестором, указаны в ст. 37 Регламента.</w:t>
      </w:r>
    </w:p>
    <w:p w14:paraId="0AB7D5B3" w14:textId="746587A8" w:rsidR="00D134B4" w:rsidRPr="00FC5D29" w:rsidRDefault="007244B2" w:rsidP="001263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Обращаем внимание, </w:t>
      </w:r>
      <w:r w:rsidR="004A0617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что такие сделки являются более рисковыми, чем сделки с инструментами, доступными</w:t>
      </w:r>
      <w:r w:rsidR="00C70023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A0617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для</w:t>
      </w:r>
      <w:r w:rsidR="00A615C0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неквалифицированных инвесторов</w:t>
      </w:r>
      <w:r w:rsidR="004A0617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6ED65373" w14:textId="77777777" w:rsidR="00057372" w:rsidRPr="00FC5D29" w:rsidRDefault="00062F2B" w:rsidP="001263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Сведения о сделках (договорах), </w:t>
      </w:r>
      <w:r w:rsidR="00D134B4"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п</w:t>
      </w:r>
      <w:r w:rsidR="00ED4231"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оручения в отношении которых</w:t>
      </w:r>
      <w:r w:rsidR="003F2999"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 </w:t>
      </w:r>
      <w:r w:rsidR="00ED4231"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исполняются Брокером </w:t>
      </w:r>
    </w:p>
    <w:p w14:paraId="64D187B4" w14:textId="218E6571" w:rsidR="00FC3612" w:rsidRPr="00FC5D29" w:rsidRDefault="00ED4231" w:rsidP="001263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только при наличии у Клиента статуса</w:t>
      </w:r>
      <w:r w:rsidR="003F2999"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 xml:space="preserve"> </w:t>
      </w:r>
      <w:r w:rsidRPr="00FC5D29">
        <w:rPr>
          <w:rFonts w:ascii="Times New Roman" w:hAnsi="Times New Roman" w:cs="Times New Roman"/>
          <w:b/>
          <w:color w:val="000000" w:themeColor="text1"/>
          <w:sz w:val="24"/>
          <w:szCs w:val="23"/>
        </w:rPr>
        <w:t>квалифицированного инвестора</w:t>
      </w:r>
    </w:p>
    <w:p w14:paraId="57E0C03E" w14:textId="77777777" w:rsidR="00EF2774" w:rsidRPr="00FC5D29" w:rsidRDefault="00EF2774" w:rsidP="001263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Особенности совершения сделок, которые могут быть исполнены Брокером только при наличии у Клиента статуса квалифицированного инвестора, указаны в ст. 13 Регламента.</w:t>
      </w:r>
    </w:p>
    <w:p w14:paraId="3591E95B" w14:textId="245C7934" w:rsidR="00EF2774" w:rsidRPr="00FC5D29" w:rsidRDefault="00EF2774" w:rsidP="001263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Перечень финансовых инструментов, сделки с которыми могут заключать </w:t>
      </w:r>
      <w:r w:rsidR="006C070E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только 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квалифицированные инвесторы, приведен в Указании Банка России от 09.01.2023 № 6347-У «О ценных бумагах и производных финансовых инструментах, предназначенных для квалифицированных инвесторов».</w:t>
      </w:r>
    </w:p>
    <w:p w14:paraId="4557BD64" w14:textId="157246DA" w:rsidR="00D134B4" w:rsidRPr="00FC5D29" w:rsidRDefault="007829C3" w:rsidP="00FC5D2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Обращаем внимание, что такие сделки являются более рисковыми, чем сделки с инструментами, доступными для неквалифицированных инвесторов.</w:t>
      </w:r>
    </w:p>
    <w:p w14:paraId="5209822A" w14:textId="77777777" w:rsidR="009E67AF" w:rsidRPr="00FC5D29" w:rsidRDefault="00062F2B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Использование Брокером активов Клиента</w:t>
      </w:r>
    </w:p>
    <w:p w14:paraId="51D3611E" w14:textId="04A121FC" w:rsidR="009E67AF" w:rsidRPr="00FC5D29" w:rsidRDefault="00062F2B" w:rsidP="0012635F">
      <w:pPr>
        <w:pStyle w:val="a8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Брокер вправе использовать денежные средства Клиента, в соответствии с п</w:t>
      </w:r>
      <w:r w:rsidR="00057372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5.7. - 5.7.2. 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Регламента.</w:t>
      </w:r>
      <w:r w:rsidR="00506F07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Денежные средства Клиента, предоставившего право их использования, могут зачисляться Брокером на его собственный счет.</w:t>
      </w:r>
    </w:p>
    <w:p w14:paraId="2F7B37FD" w14:textId="3AAC3D8A" w:rsidR="00731F7C" w:rsidRPr="00FC5D29" w:rsidRDefault="00731F7C" w:rsidP="0012635F">
      <w:pPr>
        <w:pStyle w:val="a8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Брокер обеспечивает обособленный учет денежных средств Клиентов, предоставивших Брокеру право использовать их денежные средства, отдельно от денежных средств Клиентов, не предоставивших Брокеру такое право, на разных специальных брокерских счетах (далее – СБС).</w:t>
      </w:r>
    </w:p>
    <w:p w14:paraId="3541B043" w14:textId="7BD18228" w:rsidR="002E3B3D" w:rsidRPr="00FC5D29" w:rsidRDefault="000D47AE" w:rsidP="0012635F">
      <w:pPr>
        <w:pStyle w:val="a8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Клиент вправе подать Брокеру заявление об отказе от предоставления Брокеру права использования в своих интересах денежных средств Клиента. Форма заявления </w:t>
      </w:r>
      <w:r w:rsidR="009254CB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установлена в Приложении № 21.1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 Регламенту. </w:t>
      </w:r>
      <w:r w:rsidR="00785C79"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В этом случае:</w:t>
      </w:r>
    </w:p>
    <w:p w14:paraId="3413D78D" w14:textId="41D82985" w:rsidR="009254CB" w:rsidRPr="00FC5D29" w:rsidRDefault="00785C79" w:rsidP="0012635F">
      <w:pPr>
        <w:pStyle w:val="a8"/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Брокер не сможет исполнить поручения на совершение сделок, указанных в п. 5.7.4.1. - 5.7.4.4 Регламента.</w:t>
      </w:r>
    </w:p>
    <w:p w14:paraId="18C0717D" w14:textId="77777777" w:rsidR="00731F7C" w:rsidRPr="00FC5D29" w:rsidRDefault="00731F7C" w:rsidP="0012635F">
      <w:pPr>
        <w:pStyle w:val="a8"/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Денежные средства Клиента будут храниться на СБС вместе с денежными средствами других клиентов, не предоставивших Брокеру право использовать их денежные средства;</w:t>
      </w:r>
    </w:p>
    <w:p w14:paraId="73BEB811" w14:textId="29034A98" w:rsidR="003F2999" w:rsidRPr="00FC5D29" w:rsidRDefault="000E3EE1" w:rsidP="0012635F">
      <w:pPr>
        <w:pStyle w:val="a8"/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Для учета денежных средств Клиента отдельно от денежных средств других клиентов</w:t>
      </w:r>
      <w:r w:rsidR="00057372" w:rsidRPr="00FC5D29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,</w:t>
      </w:r>
      <w:r w:rsidRPr="00FC5D29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 xml:space="preserve"> Брокер</w:t>
      </w:r>
      <w:r w:rsidRPr="00FC5D29">
        <w:rPr>
          <w:rFonts w:ascii="Times New Roman" w:hAnsi="Times New Roman" w:cs="Times New Roman"/>
          <w:color w:val="000000" w:themeColor="text1"/>
          <w:spacing w:val="-1"/>
          <w:sz w:val="23"/>
          <w:szCs w:val="23"/>
        </w:rPr>
        <w:t xml:space="preserve"> может открыть </w:t>
      </w:r>
      <w:r w:rsidRPr="00FC5D29">
        <w:rPr>
          <w:rFonts w:ascii="Times New Roman" w:hAnsi="Times New Roman" w:cs="Times New Roman"/>
          <w:color w:val="000000" w:themeColor="text1"/>
          <w:sz w:val="23"/>
          <w:szCs w:val="23"/>
        </w:rPr>
        <w:t>отдельный СБС.</w:t>
      </w:r>
      <w:r w:rsidRPr="00FC5D29" w:rsidDel="000E3E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254CB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Клиент возмещает Брокеру расходы по открытию указанного счета; за ведение учета денежных средств Клиента на отдельном </w:t>
      </w: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СБС</w:t>
      </w:r>
      <w:r w:rsidR="009254CB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Брокер взимает вознаграждение в соответствии с Тарифным планом.</w:t>
      </w:r>
    </w:p>
    <w:p w14:paraId="08FA4D7B" w14:textId="5B4F17B2" w:rsidR="00731F7C" w:rsidRPr="00FC5D29" w:rsidRDefault="00731F7C" w:rsidP="0012635F">
      <w:pPr>
        <w:pStyle w:val="a8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Денежные средства, зачисляемые на СБС, не подлежат страхованию в соответствии с Федеральным законом от 23.12.2003 № 177-ФЗ «О страховании вкладов физических лиц в банках Российской Федерации».</w:t>
      </w:r>
    </w:p>
    <w:p w14:paraId="3F896050" w14:textId="046FE580" w:rsidR="0082095B" w:rsidRPr="00F55C06" w:rsidRDefault="0012635F" w:rsidP="00F55C06">
      <w:pPr>
        <w:pStyle w:val="a8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Брокер </w:t>
      </w:r>
      <w:r w:rsidR="00840224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вправе использовать </w:t>
      </w:r>
      <w:r w:rsidR="00D040EB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ценные бумаги Клиента, в </w:t>
      </w:r>
      <w:r w:rsidR="0082095B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порядке, предусмотренном п. 5.7</w:t>
      </w:r>
      <w:r w:rsidR="00D040EB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gramStart"/>
      <w:r w:rsidR="0082095B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5.7.2 ,</w:t>
      </w:r>
      <w:proofErr w:type="gramEnd"/>
      <w:r w:rsidR="0082095B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D040EB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5.7.2.1 Регламента.</w:t>
      </w:r>
    </w:p>
    <w:p w14:paraId="7DC2BC10" w14:textId="77777777" w:rsidR="00F55C06" w:rsidRPr="00F55C06" w:rsidRDefault="00F55C06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14:paraId="76A869C5" w14:textId="7A8C91CF" w:rsidR="0005673A" w:rsidRPr="00FC5D29" w:rsidRDefault="0005673A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Способы подачи, сроки приема и исполнения поручений Клиента</w:t>
      </w:r>
    </w:p>
    <w:p w14:paraId="35EEA5AD" w14:textId="77777777" w:rsidR="0005673A" w:rsidRPr="00FC5D29" w:rsidRDefault="0005673A" w:rsidP="00F55C06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Способы подачи, сроки приема и исполнения поручений указаны в ст. 7 Регламента.</w:t>
      </w:r>
    </w:p>
    <w:p w14:paraId="1F56A21C" w14:textId="77777777" w:rsidR="0005673A" w:rsidRPr="00F55C06" w:rsidRDefault="0005673A" w:rsidP="0012635F">
      <w:pPr>
        <w:pStyle w:val="a8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20A99F0" w14:textId="77777777" w:rsidR="00FC5D29" w:rsidRDefault="00F731E9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Сведения о тарифах на брокерское обслуживание </w:t>
      </w:r>
    </w:p>
    <w:p w14:paraId="229617A5" w14:textId="05CE2FC0" w:rsidR="00F731E9" w:rsidRPr="00FC5D29" w:rsidRDefault="00F731E9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и о выбранном Клиентом тарифе на брокерское обслуживание</w:t>
      </w:r>
    </w:p>
    <w:p w14:paraId="7DDBAA01" w14:textId="2C3F54B9" w:rsidR="00051273" w:rsidRPr="00FC5D29" w:rsidRDefault="008103FF" w:rsidP="00100FE4">
      <w:pPr>
        <w:pStyle w:val="a8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заключении Договора, Вы присоединились к Тарифному плану № 1</w:t>
      </w:r>
      <w:r w:rsidR="0012635F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, указанному</w:t>
      </w: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Приложении </w:t>
      </w:r>
      <w:r w:rsid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№ 3 к Регламенту.</w:t>
      </w:r>
    </w:p>
    <w:p w14:paraId="451FC4BB" w14:textId="77777777" w:rsidR="00F70CC0" w:rsidRPr="00FC5D29" w:rsidRDefault="00F70CC0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lastRenderedPageBreak/>
        <w:t xml:space="preserve">Указание на то, что при недостаточности активов на счете </w:t>
      </w:r>
      <w:r w:rsidR="007753EC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Клиента</w:t>
      </w:r>
    </w:p>
    <w:p w14:paraId="6ECB181E" w14:textId="1F28514A" w:rsidR="00F70CC0" w:rsidRDefault="00F70CC0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Брокером могут быть предоставлены </w:t>
      </w:r>
      <w:r w:rsidR="00060B17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Клиенту </w:t>
      </w:r>
      <w:r w:rsidR="00711EA4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в заем средства за </w:t>
      </w: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дополнительную плату</w:t>
      </w:r>
    </w:p>
    <w:p w14:paraId="68C33961" w14:textId="77777777" w:rsidR="00F55C06" w:rsidRPr="00F55C06" w:rsidRDefault="00F55C06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14:paraId="00691D1B" w14:textId="77777777" w:rsidR="00B44611" w:rsidRPr="00FC5D29" w:rsidRDefault="00F70CC0" w:rsidP="0012635F">
      <w:pPr>
        <w:pStyle w:val="a8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 8.1 Регламента, Брокер совершает сделки за счет денежных средств (в валюте Российской Федерации или в иностранной валюте) и (или) ценных бумаг и (или) драгоценных металлов, которые в соответствии с Договором находятся в распоряжении Брокера или должны поступить в его распоряжение, в случае их недостаточности для исполнения обязательств из указанных сделок, а также фьючерсные договоры от имени Брокера и за счет Клиента на основании Поручения Клиента.</w:t>
      </w:r>
      <w:r w:rsidR="00122851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5B8E3EFE" w14:textId="77777777" w:rsidR="003D6E3F" w:rsidRPr="00FC5D29" w:rsidRDefault="00122851" w:rsidP="0012635F">
      <w:pPr>
        <w:pStyle w:val="a8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Особенности совершения таких сделок указаны в ст. 8 Регламента.</w:t>
      </w:r>
    </w:p>
    <w:p w14:paraId="7B137A3A" w14:textId="2659765D" w:rsidR="00B44611" w:rsidRPr="00FC5D29" w:rsidRDefault="003D6E3F" w:rsidP="0012635F">
      <w:pPr>
        <w:pStyle w:val="a8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Вознаграждение Брокера за совершение</w:t>
      </w:r>
      <w:r w:rsidR="00B44611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57372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таких сделок указано</w:t>
      </w:r>
      <w:r w:rsidR="00B44611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п. 3 и 3.1 Тарифного плана № 1, указанного в Приложении № 3 к Регламенту.</w:t>
      </w:r>
    </w:p>
    <w:p w14:paraId="3544F723" w14:textId="77777777" w:rsidR="00B44611" w:rsidRPr="00EB1633" w:rsidRDefault="00B44611" w:rsidP="0012635F">
      <w:pPr>
        <w:pStyle w:val="a8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1C9BB21" w14:textId="77777777" w:rsidR="007753EC" w:rsidRPr="00FC5D29" w:rsidRDefault="007753EC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Указание на то, что Клиент может потерять все вложенные средства и</w:t>
      </w:r>
    </w:p>
    <w:p w14:paraId="1DC2A503" w14:textId="3BB6509F" w:rsidR="007753EC" w:rsidRDefault="007753EC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остаться должным, а также на отсутствие гарантии доходности при</w:t>
      </w:r>
      <w:r w:rsidR="00EC4257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</w:t>
      </w: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инвестировании активов</w:t>
      </w:r>
    </w:p>
    <w:p w14:paraId="5C3FAD91" w14:textId="77777777" w:rsidR="00EB1633" w:rsidRPr="00EB1633" w:rsidRDefault="00EB1633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4F412B45" w14:textId="0943DADF" w:rsidR="00645D90" w:rsidRPr="00FC5D29" w:rsidRDefault="007753EC" w:rsidP="0012635F">
      <w:pPr>
        <w:pStyle w:val="a8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Стоимость ценных бумаг и </w:t>
      </w:r>
      <w:r w:rsidR="00060B17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производных финансовых инструментов (далее – </w:t>
      </w: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ПФИ</w:t>
      </w:r>
      <w:r w:rsidR="00060B17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увеличиваться и уменьшаться, результаты инвестирования в прошлом не определяют доходы в будущем</w:t>
      </w:r>
      <w:r w:rsidR="00645D90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B569B2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Клиент может потерять все вложенные средства и остаться должным.</w:t>
      </w:r>
    </w:p>
    <w:p w14:paraId="52DBE3F7" w14:textId="5548E306" w:rsidR="003F2999" w:rsidRPr="00FC5D29" w:rsidRDefault="00645D90" w:rsidP="0012635F">
      <w:pPr>
        <w:pStyle w:val="a8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7753EC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осударство не гарантирует доходность вложений в ценные бумаги и ПФИ.</w:t>
      </w: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Обязательства по ценны</w:t>
      </w:r>
      <w:r w:rsidR="00777B34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м бумагам</w:t>
      </w: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ПФИ не подлежат страхованию в соответствии с Федер</w:t>
      </w:r>
      <w:r w:rsidR="00777B34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альным законом от 23.12.</w:t>
      </w: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2003 № 177-ФЗ «О страховании вкладов физических лиц в банках Российской Федерации».</w:t>
      </w:r>
    </w:p>
    <w:p w14:paraId="58C55EC2" w14:textId="43CCA3F9" w:rsidR="00777B34" w:rsidRPr="00FC5D29" w:rsidRDefault="00122851" w:rsidP="0012635F">
      <w:pPr>
        <w:pStyle w:val="a8"/>
        <w:spacing w:before="120"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</w:r>
      <w:r w:rsidR="00777B34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Способ</w:t>
      </w:r>
      <w:r w:rsidR="00E74675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ы</w:t>
      </w:r>
      <w:r w:rsidR="00777B34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получения </w:t>
      </w:r>
      <w:r w:rsidR="005C4510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Клиентом</w:t>
      </w:r>
      <w:r w:rsidR="00777B34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</w:t>
      </w:r>
      <w:r w:rsidR="00E74675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Отчета</w:t>
      </w:r>
      <w:r w:rsidR="00777B34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Брокера</w:t>
      </w:r>
    </w:p>
    <w:p w14:paraId="26D12520" w14:textId="5B42ECC6" w:rsidR="00020107" w:rsidRPr="00FC5D29" w:rsidRDefault="00E74675" w:rsidP="0012635F">
      <w:pPr>
        <w:pStyle w:val="a8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hAnsi="Times New Roman" w:cs="Times New Roman"/>
          <w:snapToGrid w:val="0"/>
          <w:color w:val="000000" w:themeColor="text1"/>
          <w:sz w:val="23"/>
          <w:szCs w:val="23"/>
        </w:rPr>
        <w:t>Отчет Брокера предоставляется Клиенту любым из следующих способов</w:t>
      </w:r>
      <w:r w:rsidR="00020107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14:paraId="4089FEA3" w14:textId="48719104" w:rsidR="00020107" w:rsidRPr="00FC5D29" w:rsidRDefault="0012635F" w:rsidP="0012635F">
      <w:pPr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napToGrid w:val="0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snapToGrid w:val="0"/>
          <w:color w:val="000000" w:themeColor="text1"/>
          <w:sz w:val="23"/>
          <w:szCs w:val="23"/>
        </w:rPr>
        <w:t>П</w:t>
      </w:r>
      <w:r w:rsidR="00020107" w:rsidRPr="00FC5D29">
        <w:rPr>
          <w:rFonts w:ascii="Times New Roman" w:hAnsi="Times New Roman" w:cs="Times New Roman"/>
          <w:snapToGrid w:val="0"/>
          <w:color w:val="000000" w:themeColor="text1"/>
          <w:sz w:val="23"/>
          <w:szCs w:val="23"/>
        </w:rPr>
        <w:t xml:space="preserve">утем личного вручения Клиенту или его уполномоченному представителю; </w:t>
      </w:r>
    </w:p>
    <w:p w14:paraId="08FA8E08" w14:textId="543F4632" w:rsidR="00020107" w:rsidRPr="00FC5D29" w:rsidRDefault="0012635F" w:rsidP="0012635F">
      <w:pPr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napToGrid w:val="0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snapToGrid w:val="0"/>
          <w:color w:val="000000" w:themeColor="text1"/>
          <w:sz w:val="23"/>
          <w:szCs w:val="23"/>
        </w:rPr>
        <w:t>П</w:t>
      </w:r>
      <w:r w:rsidR="00020107" w:rsidRPr="00FC5D29">
        <w:rPr>
          <w:rFonts w:ascii="Times New Roman" w:hAnsi="Times New Roman" w:cs="Times New Roman"/>
          <w:snapToGrid w:val="0"/>
          <w:color w:val="000000" w:themeColor="text1"/>
          <w:sz w:val="23"/>
          <w:szCs w:val="23"/>
        </w:rPr>
        <w:t xml:space="preserve">очтовым отправлением; </w:t>
      </w:r>
    </w:p>
    <w:p w14:paraId="0F278214" w14:textId="0EBA1092" w:rsidR="00020107" w:rsidRPr="00FC5D29" w:rsidRDefault="0012635F" w:rsidP="0012635F">
      <w:pPr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napToGrid w:val="0"/>
          <w:color w:val="000000" w:themeColor="text1"/>
          <w:sz w:val="23"/>
          <w:szCs w:val="23"/>
        </w:rPr>
      </w:pPr>
      <w:r w:rsidRPr="00FC5D29">
        <w:rPr>
          <w:rFonts w:ascii="Times New Roman" w:hAnsi="Times New Roman" w:cs="Times New Roman"/>
          <w:snapToGrid w:val="0"/>
          <w:color w:val="000000" w:themeColor="text1"/>
          <w:sz w:val="23"/>
          <w:szCs w:val="23"/>
        </w:rPr>
        <w:t>П</w:t>
      </w:r>
      <w:r w:rsidR="00020107" w:rsidRPr="00FC5D29">
        <w:rPr>
          <w:rFonts w:ascii="Times New Roman" w:hAnsi="Times New Roman" w:cs="Times New Roman"/>
          <w:snapToGrid w:val="0"/>
          <w:color w:val="000000" w:themeColor="text1"/>
          <w:sz w:val="23"/>
          <w:szCs w:val="23"/>
        </w:rPr>
        <w:t xml:space="preserve">о адресу электронной почты (e-mail), указанному в Анкете Клиента; </w:t>
      </w:r>
    </w:p>
    <w:p w14:paraId="56AEFF82" w14:textId="77777777" w:rsidR="00020107" w:rsidRPr="00F2249C" w:rsidRDefault="00020107" w:rsidP="00DA253B">
      <w:pPr>
        <w:pStyle w:val="a8"/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28D0901" w14:textId="51676BB7" w:rsidR="00FB0282" w:rsidRDefault="0007781E" w:rsidP="0012635F">
      <w:pPr>
        <w:pStyle w:val="a8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Сведения о случаях, когда ответственность Б</w:t>
      </w:r>
      <w:r w:rsidR="003F2999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рокера ограничена в </w:t>
      </w: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соответствии с условиями </w:t>
      </w:r>
      <w:r w:rsidR="00E74675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Договора</w:t>
      </w: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, </w:t>
      </w:r>
      <w:r w:rsidR="00FB0282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а также об условиях форс-</w:t>
      </w:r>
      <w:r w:rsidR="00176D63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мажора</w:t>
      </w:r>
    </w:p>
    <w:p w14:paraId="079C3CED" w14:textId="77777777" w:rsidR="00F2249C" w:rsidRPr="00F2249C" w:rsidRDefault="00F2249C" w:rsidP="0012635F">
      <w:pPr>
        <w:pStyle w:val="a8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3D805A83" w14:textId="64DD6279" w:rsidR="00176D63" w:rsidRPr="00FC5D29" w:rsidRDefault="00176D63" w:rsidP="0012635F">
      <w:pPr>
        <w:pStyle w:val="a8"/>
        <w:spacing w:before="120"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Случаи, когда ответственность Брокера ограничена, указаны в ст. 19.4 – 19.10 Регламента.</w:t>
      </w:r>
      <w:r w:rsidR="0012635F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Условия форс-мажора указаны в ст. 19.11 – 19.13 Регламента.</w:t>
      </w:r>
    </w:p>
    <w:p w14:paraId="001D29C3" w14:textId="77777777" w:rsidR="00176D63" w:rsidRPr="00FC5D29" w:rsidRDefault="00176D63" w:rsidP="0012635F">
      <w:pPr>
        <w:pStyle w:val="a8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9D7CCF7" w14:textId="1C17A7DB" w:rsidR="003F2999" w:rsidRPr="00FC5D29" w:rsidRDefault="00184A90" w:rsidP="0012635F">
      <w:pPr>
        <w:pStyle w:val="a8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Сведения о случаях, когда Брокер осуществляет функцию налогового агента и когда Клиент самостоятельно осуществляет уплату налогов в соответствии с налоговым законод</w:t>
      </w:r>
      <w:r w:rsidR="003F2999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ательством </w:t>
      </w:r>
      <w:r w:rsidR="0005538F" w:rsidRPr="00FC5D2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РФ</w:t>
      </w:r>
    </w:p>
    <w:p w14:paraId="66DF2999" w14:textId="77777777" w:rsidR="0005538F" w:rsidRPr="00FC5D29" w:rsidRDefault="0005538F" w:rsidP="0012635F">
      <w:pPr>
        <w:pStyle w:val="2"/>
        <w:widowControl w:val="0"/>
        <w:autoSpaceDE w:val="0"/>
        <w:autoSpaceDN w:val="0"/>
        <w:spacing w:before="120" w:after="120"/>
        <w:ind w:firstLine="720"/>
        <w:jc w:val="both"/>
        <w:rPr>
          <w:b w:val="0"/>
          <w:color w:val="000000" w:themeColor="text1"/>
          <w:sz w:val="23"/>
          <w:szCs w:val="23"/>
        </w:rPr>
      </w:pPr>
      <w:r w:rsidRPr="00FC5D29">
        <w:rPr>
          <w:b w:val="0"/>
          <w:color w:val="000000" w:themeColor="text1"/>
          <w:sz w:val="23"/>
          <w:szCs w:val="23"/>
        </w:rPr>
        <w:t>В соответствии с п. 17.2 Регламента, Брокер осуществляет функции налогового агента в отношении следующих Клиентов:</w:t>
      </w:r>
    </w:p>
    <w:p w14:paraId="1A4BC334" w14:textId="77777777" w:rsidR="0005538F" w:rsidRPr="00FC5D29" w:rsidRDefault="0005538F" w:rsidP="00F2249C">
      <w:pPr>
        <w:pStyle w:val="2"/>
        <w:numPr>
          <w:ilvl w:val="0"/>
          <w:numId w:val="14"/>
        </w:numPr>
        <w:autoSpaceDE w:val="0"/>
        <w:autoSpaceDN w:val="0"/>
        <w:spacing w:before="120" w:after="120"/>
        <w:ind w:left="709" w:hanging="142"/>
        <w:jc w:val="both"/>
        <w:rPr>
          <w:b w:val="0"/>
          <w:color w:val="000000" w:themeColor="text1"/>
          <w:sz w:val="23"/>
          <w:szCs w:val="23"/>
        </w:rPr>
      </w:pPr>
      <w:r w:rsidRPr="00FC5D29">
        <w:rPr>
          <w:b w:val="0"/>
          <w:color w:val="000000" w:themeColor="text1"/>
          <w:sz w:val="23"/>
          <w:szCs w:val="23"/>
        </w:rPr>
        <w:t>юридические и физические лица, не признанные в порядке, предусмотренном налоговым законодательством РФ, резидентами Российской Федерации;</w:t>
      </w:r>
    </w:p>
    <w:p w14:paraId="678C5597" w14:textId="77777777" w:rsidR="003F2999" w:rsidRPr="00FC5D29" w:rsidRDefault="0005538F" w:rsidP="00F2249C">
      <w:pPr>
        <w:pStyle w:val="2"/>
        <w:numPr>
          <w:ilvl w:val="0"/>
          <w:numId w:val="14"/>
        </w:numPr>
        <w:tabs>
          <w:tab w:val="left" w:pos="644"/>
        </w:tabs>
        <w:autoSpaceDE w:val="0"/>
        <w:autoSpaceDN w:val="0"/>
        <w:spacing w:before="120" w:after="120"/>
        <w:ind w:left="709" w:hanging="142"/>
        <w:jc w:val="both"/>
        <w:rPr>
          <w:b w:val="0"/>
          <w:color w:val="000000" w:themeColor="text1"/>
          <w:sz w:val="23"/>
          <w:szCs w:val="23"/>
        </w:rPr>
      </w:pPr>
      <w:r w:rsidRPr="00FC5D29">
        <w:rPr>
          <w:b w:val="0"/>
          <w:color w:val="000000" w:themeColor="text1"/>
          <w:sz w:val="23"/>
          <w:szCs w:val="23"/>
        </w:rPr>
        <w:t>физические лица, признанные в порядке, предусмотренном налоговым законодательством РФ, резидентами РФ.</w:t>
      </w:r>
    </w:p>
    <w:p w14:paraId="77D439EC" w14:textId="686D055A" w:rsidR="00FC5D29" w:rsidRPr="00FC5D29" w:rsidRDefault="00057372" w:rsidP="00FC5D29">
      <w:pPr>
        <w:pStyle w:val="a8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>Во всех остальных случаях</w:t>
      </w:r>
      <w:r w:rsidR="00711EA4" w:rsidRPr="00FC5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Клиент самостоятельно осуществляет уплату налогов в соответствии с налоговым законодательством РФ.</w:t>
      </w:r>
    </w:p>
    <w:p w14:paraId="36EEB048" w14:textId="77777777" w:rsidR="00FC5D29" w:rsidRPr="00FC5D29" w:rsidRDefault="00FC5D29" w:rsidP="00FC5D29">
      <w:pPr>
        <w:pStyle w:val="a8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2C1B149D" w14:textId="0C08474B" w:rsidR="00F55C06" w:rsidRPr="00FC5D29" w:rsidRDefault="00711EA4" w:rsidP="00F55C06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3"/>
        </w:rPr>
      </w:pPr>
      <w:r w:rsidRPr="00FC5D29">
        <w:rPr>
          <w:rFonts w:ascii="Times New Roman" w:hAnsi="Times New Roman" w:cs="Times New Roman"/>
          <w:b/>
          <w:color w:val="000000" w:themeColor="text1"/>
          <w:sz w:val="28"/>
          <w:szCs w:val="23"/>
        </w:rPr>
        <w:t>С</w:t>
      </w:r>
      <w:r w:rsidR="00A429DD" w:rsidRPr="00FC5D29">
        <w:rPr>
          <w:rFonts w:ascii="Times New Roman" w:hAnsi="Times New Roman" w:cs="Times New Roman"/>
          <w:b/>
          <w:color w:val="000000" w:themeColor="text1"/>
          <w:sz w:val="28"/>
          <w:szCs w:val="23"/>
        </w:rPr>
        <w:t xml:space="preserve"> </w:t>
      </w:r>
      <w:r w:rsidRPr="00FC5D29">
        <w:rPr>
          <w:rFonts w:ascii="Times New Roman" w:hAnsi="Times New Roman" w:cs="Times New Roman"/>
          <w:b/>
          <w:color w:val="000000" w:themeColor="text1"/>
          <w:sz w:val="28"/>
          <w:szCs w:val="23"/>
        </w:rPr>
        <w:t>настоящей И</w:t>
      </w:r>
      <w:r w:rsidR="00A429DD" w:rsidRPr="00FC5D29">
        <w:rPr>
          <w:rFonts w:ascii="Times New Roman" w:hAnsi="Times New Roman" w:cs="Times New Roman"/>
          <w:b/>
          <w:color w:val="000000" w:themeColor="text1"/>
          <w:sz w:val="28"/>
          <w:szCs w:val="23"/>
        </w:rPr>
        <w:t>нформацией</w:t>
      </w:r>
      <w:r w:rsidRPr="00FC5D29">
        <w:rPr>
          <w:rFonts w:ascii="Times New Roman" w:hAnsi="Times New Roman" w:cs="Times New Roman"/>
          <w:b/>
          <w:color w:val="000000" w:themeColor="text1"/>
          <w:sz w:val="28"/>
          <w:szCs w:val="23"/>
        </w:rPr>
        <w:t xml:space="preserve"> полностью</w:t>
      </w:r>
      <w:r w:rsidR="00A429DD" w:rsidRPr="00FC5D29">
        <w:rPr>
          <w:rFonts w:ascii="Times New Roman" w:hAnsi="Times New Roman" w:cs="Times New Roman"/>
          <w:b/>
          <w:color w:val="000000" w:themeColor="text1"/>
          <w:sz w:val="28"/>
          <w:szCs w:val="23"/>
        </w:rPr>
        <w:t xml:space="preserve"> </w:t>
      </w:r>
      <w:r w:rsidRPr="00FC5D29">
        <w:rPr>
          <w:rFonts w:ascii="Times New Roman" w:hAnsi="Times New Roman" w:cs="Times New Roman"/>
          <w:b/>
          <w:color w:val="000000" w:themeColor="text1"/>
          <w:sz w:val="28"/>
          <w:szCs w:val="23"/>
        </w:rPr>
        <w:t>ознакомлен</w:t>
      </w:r>
      <w:r w:rsidR="001F3E89" w:rsidRPr="00FC5D29">
        <w:rPr>
          <w:rFonts w:ascii="Times New Roman" w:hAnsi="Times New Roman" w:cs="Times New Roman"/>
          <w:b/>
          <w:color w:val="000000" w:themeColor="text1"/>
          <w:sz w:val="28"/>
          <w:szCs w:val="23"/>
        </w:rPr>
        <w:t>(-а)</w:t>
      </w:r>
      <w:r w:rsidRPr="00FC5D29">
        <w:rPr>
          <w:rFonts w:ascii="Times New Roman" w:hAnsi="Times New Roman" w:cs="Times New Roman"/>
          <w:b/>
          <w:color w:val="000000" w:themeColor="text1"/>
          <w:sz w:val="28"/>
          <w:szCs w:val="23"/>
        </w:rPr>
        <w:t>.</w:t>
      </w:r>
    </w:p>
    <w:p w14:paraId="0CB5CB3C" w14:textId="77777777" w:rsidR="00DA253B" w:rsidRPr="00FC5D29" w:rsidRDefault="00DA253B" w:rsidP="0012635F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4CFB470B" w14:textId="77777777" w:rsidR="00711EA4" w:rsidRPr="00FC5D29" w:rsidRDefault="00711EA4" w:rsidP="0012635F">
      <w:pPr>
        <w:pStyle w:val="a8"/>
        <w:spacing w:before="120" w:after="12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EE1588C" w14:textId="3032386E" w:rsidR="00711EA4" w:rsidRPr="00FC5D29" w:rsidRDefault="00711EA4" w:rsidP="0012635F">
      <w:pPr>
        <w:pStyle w:val="a8"/>
        <w:spacing w:before="120" w:after="12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C5D29">
        <w:rPr>
          <w:rFonts w:ascii="Times New Roman" w:hAnsi="Times New Roman" w:cs="Times New Roman"/>
          <w:color w:val="000000" w:themeColor="text1"/>
          <w:sz w:val="24"/>
          <w:szCs w:val="23"/>
        </w:rPr>
        <w:t>____________</w:t>
      </w:r>
      <w:r w:rsidR="00DA253B" w:rsidRPr="00FC5D29">
        <w:rPr>
          <w:rFonts w:ascii="Times New Roman" w:hAnsi="Times New Roman" w:cs="Times New Roman"/>
          <w:color w:val="000000" w:themeColor="text1"/>
          <w:sz w:val="24"/>
          <w:szCs w:val="23"/>
        </w:rPr>
        <w:t>_______</w:t>
      </w:r>
      <w:r w:rsidR="00F2249C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/ </w:t>
      </w:r>
      <w:r w:rsidRPr="00FC5D29">
        <w:rPr>
          <w:rFonts w:ascii="Times New Roman" w:hAnsi="Times New Roman" w:cs="Times New Roman"/>
          <w:color w:val="000000" w:themeColor="text1"/>
          <w:sz w:val="24"/>
          <w:szCs w:val="23"/>
        </w:rPr>
        <w:t>____________</w:t>
      </w:r>
      <w:r w:rsidR="00EC4257" w:rsidRPr="00FC5D29">
        <w:rPr>
          <w:rFonts w:ascii="Times New Roman" w:hAnsi="Times New Roman" w:cs="Times New Roman"/>
          <w:color w:val="000000" w:themeColor="text1"/>
          <w:sz w:val="24"/>
          <w:szCs w:val="23"/>
        </w:rPr>
        <w:t>__________________________________________________</w:t>
      </w:r>
      <w:r w:rsidR="00F55C06">
        <w:rPr>
          <w:rFonts w:ascii="Times New Roman" w:hAnsi="Times New Roman" w:cs="Times New Roman"/>
          <w:color w:val="000000" w:themeColor="text1"/>
          <w:sz w:val="24"/>
          <w:szCs w:val="23"/>
        </w:rPr>
        <w:t>_</w:t>
      </w:r>
      <w:r w:rsidR="00EC4257" w:rsidRPr="00FC5D29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Pr="00FC5D29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/ </w:t>
      </w:r>
    </w:p>
    <w:sectPr w:rsidR="00711EA4" w:rsidRPr="00FC5D29" w:rsidSect="00654F45"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8009" w14:textId="77777777" w:rsidR="001821D6" w:rsidRDefault="001821D6" w:rsidP="00CD58B2">
      <w:pPr>
        <w:spacing w:after="0" w:line="240" w:lineRule="auto"/>
      </w:pPr>
      <w:r>
        <w:separator/>
      </w:r>
    </w:p>
  </w:endnote>
  <w:endnote w:type="continuationSeparator" w:id="0">
    <w:p w14:paraId="0E88FB54" w14:textId="77777777" w:rsidR="001821D6" w:rsidRDefault="001821D6" w:rsidP="00CD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574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7AA4137" w14:textId="14D12F8C" w:rsidR="00187102" w:rsidRPr="00187102" w:rsidRDefault="00187102" w:rsidP="00187102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187102">
          <w:rPr>
            <w:rFonts w:ascii="Times New Roman" w:hAnsi="Times New Roman" w:cs="Times New Roman"/>
            <w:sz w:val="20"/>
          </w:rPr>
          <w:fldChar w:fldCharType="begin"/>
        </w:r>
        <w:r w:rsidRPr="00187102">
          <w:rPr>
            <w:rFonts w:ascii="Times New Roman" w:hAnsi="Times New Roman" w:cs="Times New Roman"/>
            <w:sz w:val="20"/>
          </w:rPr>
          <w:instrText>PAGE   \* MERGEFORMAT</w:instrText>
        </w:r>
        <w:r w:rsidRPr="00187102">
          <w:rPr>
            <w:rFonts w:ascii="Times New Roman" w:hAnsi="Times New Roman" w:cs="Times New Roman"/>
            <w:sz w:val="20"/>
          </w:rPr>
          <w:fldChar w:fldCharType="separate"/>
        </w:r>
        <w:r w:rsidR="00031282">
          <w:rPr>
            <w:rFonts w:ascii="Times New Roman" w:hAnsi="Times New Roman" w:cs="Times New Roman"/>
            <w:noProof/>
            <w:sz w:val="20"/>
          </w:rPr>
          <w:t>2</w:t>
        </w:r>
        <w:r w:rsidRPr="00187102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601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3E6960A4" w14:textId="035807C7" w:rsidR="003F2999" w:rsidRPr="003F2999" w:rsidRDefault="003F2999" w:rsidP="003F2999">
        <w:pPr>
          <w:pStyle w:val="a5"/>
          <w:jc w:val="center"/>
          <w:rPr>
            <w:rFonts w:ascii="Times New Roman" w:hAnsi="Times New Roman" w:cs="Times New Roman"/>
            <w:sz w:val="18"/>
          </w:rPr>
        </w:pPr>
        <w:r w:rsidRPr="003F2999">
          <w:rPr>
            <w:rFonts w:ascii="Times New Roman" w:hAnsi="Times New Roman" w:cs="Times New Roman"/>
            <w:sz w:val="18"/>
          </w:rPr>
          <w:fldChar w:fldCharType="begin"/>
        </w:r>
        <w:r w:rsidRPr="003F2999">
          <w:rPr>
            <w:rFonts w:ascii="Times New Roman" w:hAnsi="Times New Roman" w:cs="Times New Roman"/>
            <w:sz w:val="18"/>
          </w:rPr>
          <w:instrText>PAGE   \* MERGEFORMAT</w:instrText>
        </w:r>
        <w:r w:rsidRPr="003F2999">
          <w:rPr>
            <w:rFonts w:ascii="Times New Roman" w:hAnsi="Times New Roman" w:cs="Times New Roman"/>
            <w:sz w:val="18"/>
          </w:rPr>
          <w:fldChar w:fldCharType="separate"/>
        </w:r>
        <w:r w:rsidR="001F7469">
          <w:rPr>
            <w:rFonts w:ascii="Times New Roman" w:hAnsi="Times New Roman" w:cs="Times New Roman"/>
            <w:noProof/>
            <w:sz w:val="18"/>
          </w:rPr>
          <w:t>1</w:t>
        </w:r>
        <w:r w:rsidRPr="003F2999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D9FAB" w14:textId="77777777" w:rsidR="001821D6" w:rsidRDefault="001821D6" w:rsidP="00CD58B2">
      <w:pPr>
        <w:spacing w:after="0" w:line="240" w:lineRule="auto"/>
      </w:pPr>
      <w:r>
        <w:separator/>
      </w:r>
    </w:p>
  </w:footnote>
  <w:footnote w:type="continuationSeparator" w:id="0">
    <w:p w14:paraId="6A2722ED" w14:textId="77777777" w:rsidR="001821D6" w:rsidRDefault="001821D6" w:rsidP="00CD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7A1F" w14:textId="69DB6950" w:rsidR="00654F45" w:rsidRDefault="00650158">
    <w:pPr>
      <w:pStyle w:val="a3"/>
    </w:pPr>
    <w:r>
      <w:rPr>
        <w:noProof/>
        <w:lang w:eastAsia="ru-RU"/>
      </w:rPr>
      <w:drawing>
        <wp:inline distT="0" distB="0" distL="0" distR="0" wp14:anchorId="21641202" wp14:editId="17139871">
          <wp:extent cx="5207000" cy="584200"/>
          <wp:effectExtent l="0" t="0" r="0" b="0"/>
          <wp:docPr id="19658830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883060" name="Picture 19658830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F1DDE" w14:textId="77777777" w:rsidR="00650158" w:rsidRDefault="00650158">
    <w:pPr>
      <w:pStyle w:val="a3"/>
    </w:pPr>
  </w:p>
  <w:p w14:paraId="0E7C2F92" w14:textId="73907D6E" w:rsidR="00D12030" w:rsidRDefault="00D120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4B3"/>
    <w:multiLevelType w:val="hybridMultilevel"/>
    <w:tmpl w:val="AF68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3D02"/>
    <w:multiLevelType w:val="hybridMultilevel"/>
    <w:tmpl w:val="1D6E6016"/>
    <w:lvl w:ilvl="0" w:tplc="B6EAE8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0C761F"/>
    <w:multiLevelType w:val="hybridMultilevel"/>
    <w:tmpl w:val="AAFAD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92029B"/>
    <w:multiLevelType w:val="hybridMultilevel"/>
    <w:tmpl w:val="215891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5A45A4"/>
    <w:multiLevelType w:val="hybridMultilevel"/>
    <w:tmpl w:val="C4E86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0E63B6"/>
    <w:multiLevelType w:val="hybridMultilevel"/>
    <w:tmpl w:val="0304EAE6"/>
    <w:lvl w:ilvl="0" w:tplc="00CA8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64734"/>
    <w:multiLevelType w:val="hybridMultilevel"/>
    <w:tmpl w:val="CB94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57C5"/>
    <w:multiLevelType w:val="hybridMultilevel"/>
    <w:tmpl w:val="ABFA0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65145A"/>
    <w:multiLevelType w:val="hybridMultilevel"/>
    <w:tmpl w:val="0F50F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D3849"/>
    <w:multiLevelType w:val="hybridMultilevel"/>
    <w:tmpl w:val="1AA0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E5963"/>
    <w:multiLevelType w:val="hybridMultilevel"/>
    <w:tmpl w:val="D8DAD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A831FD"/>
    <w:multiLevelType w:val="multilevel"/>
    <w:tmpl w:val="E376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8C45C9"/>
    <w:multiLevelType w:val="hybridMultilevel"/>
    <w:tmpl w:val="E03AB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45725E"/>
    <w:multiLevelType w:val="hybridMultilevel"/>
    <w:tmpl w:val="BC1AD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B2"/>
    <w:rsid w:val="00020107"/>
    <w:rsid w:val="00031282"/>
    <w:rsid w:val="000358FF"/>
    <w:rsid w:val="000460FE"/>
    <w:rsid w:val="00051273"/>
    <w:rsid w:val="0005538F"/>
    <w:rsid w:val="0005673A"/>
    <w:rsid w:val="00057372"/>
    <w:rsid w:val="00060B17"/>
    <w:rsid w:val="00062F2B"/>
    <w:rsid w:val="00073F1D"/>
    <w:rsid w:val="0007781E"/>
    <w:rsid w:val="000D47AE"/>
    <w:rsid w:val="000E3EE1"/>
    <w:rsid w:val="00100FE4"/>
    <w:rsid w:val="00122851"/>
    <w:rsid w:val="0012635F"/>
    <w:rsid w:val="00155848"/>
    <w:rsid w:val="001647A4"/>
    <w:rsid w:val="00176D63"/>
    <w:rsid w:val="00181744"/>
    <w:rsid w:val="001821D6"/>
    <w:rsid w:val="00184A90"/>
    <w:rsid w:val="00187102"/>
    <w:rsid w:val="00190D48"/>
    <w:rsid w:val="0019526D"/>
    <w:rsid w:val="001C7993"/>
    <w:rsid w:val="001F3E89"/>
    <w:rsid w:val="001F555A"/>
    <w:rsid w:val="001F7469"/>
    <w:rsid w:val="00212C5E"/>
    <w:rsid w:val="00245DA9"/>
    <w:rsid w:val="00246F16"/>
    <w:rsid w:val="0026678D"/>
    <w:rsid w:val="002D6175"/>
    <w:rsid w:val="002E3B3D"/>
    <w:rsid w:val="00314B0F"/>
    <w:rsid w:val="003530E9"/>
    <w:rsid w:val="003D6E3F"/>
    <w:rsid w:val="003E06DC"/>
    <w:rsid w:val="003F2999"/>
    <w:rsid w:val="00407AE9"/>
    <w:rsid w:val="004247A2"/>
    <w:rsid w:val="004815CE"/>
    <w:rsid w:val="004A0617"/>
    <w:rsid w:val="004B505D"/>
    <w:rsid w:val="004D4B16"/>
    <w:rsid w:val="004F6B25"/>
    <w:rsid w:val="00506F07"/>
    <w:rsid w:val="005102B0"/>
    <w:rsid w:val="00537B31"/>
    <w:rsid w:val="005C4510"/>
    <w:rsid w:val="00613373"/>
    <w:rsid w:val="00645D90"/>
    <w:rsid w:val="00650158"/>
    <w:rsid w:val="00654F45"/>
    <w:rsid w:val="006917FC"/>
    <w:rsid w:val="006A0B51"/>
    <w:rsid w:val="006C070E"/>
    <w:rsid w:val="00711EA4"/>
    <w:rsid w:val="007244B2"/>
    <w:rsid w:val="00731F7C"/>
    <w:rsid w:val="007753EC"/>
    <w:rsid w:val="00777B34"/>
    <w:rsid w:val="007829C3"/>
    <w:rsid w:val="00785C79"/>
    <w:rsid w:val="00802481"/>
    <w:rsid w:val="00806DB1"/>
    <w:rsid w:val="008103FF"/>
    <w:rsid w:val="0082095B"/>
    <w:rsid w:val="008261B2"/>
    <w:rsid w:val="00840224"/>
    <w:rsid w:val="00875EC5"/>
    <w:rsid w:val="008A74F2"/>
    <w:rsid w:val="008A7AE9"/>
    <w:rsid w:val="008C1495"/>
    <w:rsid w:val="008D6877"/>
    <w:rsid w:val="009254CB"/>
    <w:rsid w:val="009A1CEA"/>
    <w:rsid w:val="009A46FF"/>
    <w:rsid w:val="009B4846"/>
    <w:rsid w:val="009E2C71"/>
    <w:rsid w:val="009E67AF"/>
    <w:rsid w:val="00A25D64"/>
    <w:rsid w:val="00A31AE5"/>
    <w:rsid w:val="00A34A95"/>
    <w:rsid w:val="00A429DD"/>
    <w:rsid w:val="00A46305"/>
    <w:rsid w:val="00A615C0"/>
    <w:rsid w:val="00A94CCC"/>
    <w:rsid w:val="00AB4009"/>
    <w:rsid w:val="00B44611"/>
    <w:rsid w:val="00B569B2"/>
    <w:rsid w:val="00B672A8"/>
    <w:rsid w:val="00BE0AA2"/>
    <w:rsid w:val="00C312E6"/>
    <w:rsid w:val="00C6270F"/>
    <w:rsid w:val="00C70023"/>
    <w:rsid w:val="00C7522B"/>
    <w:rsid w:val="00CC67C7"/>
    <w:rsid w:val="00CD58B2"/>
    <w:rsid w:val="00D040EB"/>
    <w:rsid w:val="00D12030"/>
    <w:rsid w:val="00D134B4"/>
    <w:rsid w:val="00D134FF"/>
    <w:rsid w:val="00D255FB"/>
    <w:rsid w:val="00D60A6B"/>
    <w:rsid w:val="00D6663D"/>
    <w:rsid w:val="00DA253B"/>
    <w:rsid w:val="00DA4DCC"/>
    <w:rsid w:val="00DD07E9"/>
    <w:rsid w:val="00DE4C26"/>
    <w:rsid w:val="00E01359"/>
    <w:rsid w:val="00E44661"/>
    <w:rsid w:val="00E74675"/>
    <w:rsid w:val="00E824E7"/>
    <w:rsid w:val="00E87872"/>
    <w:rsid w:val="00EB1633"/>
    <w:rsid w:val="00EC4257"/>
    <w:rsid w:val="00ED4231"/>
    <w:rsid w:val="00EF2774"/>
    <w:rsid w:val="00F2249C"/>
    <w:rsid w:val="00F32AB4"/>
    <w:rsid w:val="00F369D5"/>
    <w:rsid w:val="00F51D74"/>
    <w:rsid w:val="00F55C06"/>
    <w:rsid w:val="00F70CC0"/>
    <w:rsid w:val="00F731E9"/>
    <w:rsid w:val="00FA504E"/>
    <w:rsid w:val="00FB0282"/>
    <w:rsid w:val="00FC3612"/>
    <w:rsid w:val="00FC5D29"/>
    <w:rsid w:val="00F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28E55"/>
  <w15:docId w15:val="{51945A59-139C-4CE8-B5F6-BF53BDAA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8B2"/>
  </w:style>
  <w:style w:type="paragraph" w:styleId="a5">
    <w:name w:val="footer"/>
    <w:basedOn w:val="a"/>
    <w:link w:val="a6"/>
    <w:uiPriority w:val="99"/>
    <w:unhideWhenUsed/>
    <w:rsid w:val="00CD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8B2"/>
  </w:style>
  <w:style w:type="character" w:styleId="a7">
    <w:name w:val="Hyperlink"/>
    <w:basedOn w:val="a0"/>
    <w:uiPriority w:val="99"/>
    <w:unhideWhenUsed/>
    <w:rsid w:val="001647A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6663D"/>
    <w:pPr>
      <w:ind w:left="720"/>
      <w:contextualSpacing/>
    </w:pPr>
  </w:style>
  <w:style w:type="paragraph" w:styleId="2">
    <w:name w:val="Body Text 2"/>
    <w:basedOn w:val="a"/>
    <w:link w:val="20"/>
    <w:rsid w:val="000553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538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AE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07A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07AE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07AE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7A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0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vi.capi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Малышенкова Валерия Денисовна</cp:lastModifiedBy>
  <cp:revision>2</cp:revision>
  <cp:lastPrinted>2023-09-28T10:04:00Z</cp:lastPrinted>
  <dcterms:created xsi:type="dcterms:W3CDTF">2024-09-10T15:23:00Z</dcterms:created>
  <dcterms:modified xsi:type="dcterms:W3CDTF">2024-09-10T15:23:00Z</dcterms:modified>
</cp:coreProperties>
</file>